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B0" w:rsidRDefault="002A4FB0" w:rsidP="00773B00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eastAsia="it-IT"/>
        </w:rPr>
        <w:drawing>
          <wp:inline distT="0" distB="0" distL="0" distR="0" wp14:anchorId="54D8990F">
            <wp:extent cx="4425950" cy="7435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FB0" w:rsidRDefault="002A4FB0" w:rsidP="00773B00">
      <w:pPr>
        <w:ind w:left="567"/>
        <w:jc w:val="center"/>
        <w:rPr>
          <w:b/>
          <w:sz w:val="32"/>
          <w:szCs w:val="32"/>
        </w:rPr>
      </w:pPr>
    </w:p>
    <w:p w:rsidR="00EC6FB8" w:rsidRDefault="00773B00" w:rsidP="00773B00">
      <w:pPr>
        <w:ind w:left="567"/>
        <w:jc w:val="center"/>
        <w:rPr>
          <w:b/>
          <w:sz w:val="32"/>
          <w:szCs w:val="32"/>
        </w:rPr>
      </w:pPr>
      <w:r w:rsidRPr="00773B00">
        <w:rPr>
          <w:b/>
          <w:sz w:val="32"/>
          <w:szCs w:val="32"/>
        </w:rPr>
        <w:t>VIOLAZIONE DEGLI OBBLIGHI DI ASSISTENZA FAMILIARE</w:t>
      </w:r>
    </w:p>
    <w:p w:rsidR="00773B00" w:rsidRPr="00773B00" w:rsidRDefault="00773B00" w:rsidP="00773B00">
      <w:pPr>
        <w:ind w:left="567"/>
        <w:jc w:val="center"/>
        <w:rPr>
          <w:b/>
          <w:sz w:val="32"/>
          <w:szCs w:val="32"/>
        </w:rPr>
      </w:pPr>
    </w:p>
    <w:p w:rsidR="00773B00" w:rsidRDefault="00773B00" w:rsidP="00773B00">
      <w:pPr>
        <w:spacing w:after="0" w:line="360" w:lineRule="auto"/>
        <w:ind w:left="567"/>
        <w:jc w:val="both"/>
        <w:rPr>
          <w:sz w:val="28"/>
          <w:szCs w:val="28"/>
        </w:rPr>
      </w:pPr>
      <w:r w:rsidRPr="00773B00">
        <w:rPr>
          <w:sz w:val="28"/>
          <w:szCs w:val="28"/>
        </w:rPr>
        <w:t>Recente sentenza de</w:t>
      </w:r>
      <w:r>
        <w:rPr>
          <w:sz w:val="28"/>
          <w:szCs w:val="28"/>
        </w:rPr>
        <w:t>lla Suprema Corte (Cass. Sez. VI</w:t>
      </w:r>
      <w:r w:rsidRPr="00773B00">
        <w:rPr>
          <w:sz w:val="28"/>
          <w:szCs w:val="28"/>
        </w:rPr>
        <w:t xml:space="preserve"> Penale, sentenza n. 31363/18 dep. il 10/7) ha escluso che possa ritenersi sussistente il reato di cui all’art. 570 c.p. in ipotesi di violazione dell’obbligo di assicurare i mezzi di sussistenza nei confronti dei figli maggiorenni o non inabili al lavoro</w:t>
      </w:r>
      <w:r>
        <w:rPr>
          <w:sz w:val="28"/>
          <w:szCs w:val="28"/>
        </w:rPr>
        <w:t xml:space="preserve">, anche se studenti, </w:t>
      </w:r>
      <w:r w:rsidR="00605EB2" w:rsidRPr="00082640">
        <w:rPr>
          <w:sz w:val="28"/>
          <w:szCs w:val="28"/>
        </w:rPr>
        <w:t>in quanto</w:t>
      </w:r>
      <w:r w:rsidRPr="00082640">
        <w:rPr>
          <w:sz w:val="28"/>
          <w:szCs w:val="28"/>
        </w:rPr>
        <w:t xml:space="preserve"> la norma penale </w:t>
      </w:r>
      <w:r w:rsidR="00605EB2" w:rsidRPr="00082640">
        <w:rPr>
          <w:sz w:val="28"/>
          <w:szCs w:val="28"/>
        </w:rPr>
        <w:t xml:space="preserve">è operativa </w:t>
      </w:r>
      <w:r w:rsidRPr="00082640">
        <w:rPr>
          <w:sz w:val="28"/>
          <w:szCs w:val="28"/>
        </w:rPr>
        <w:t>solo nel caso di figli minori o inabili al lavoro.  Trattasi di</w:t>
      </w:r>
      <w:r>
        <w:rPr>
          <w:sz w:val="28"/>
          <w:szCs w:val="28"/>
        </w:rPr>
        <w:t xml:space="preserve"> pacifica giurisprudenza (cfr. sent. n. 34270 Cass. Pen. Sez. VI sentenza n. 34270 del 31.5.2012).</w:t>
      </w:r>
    </w:p>
    <w:p w:rsidR="00773B00" w:rsidRPr="00773B00" w:rsidRDefault="00773B00" w:rsidP="00773B00">
      <w:pPr>
        <w:spacing w:after="0" w:line="360" w:lineRule="auto"/>
        <w:ind w:left="567"/>
        <w:jc w:val="both"/>
        <w:rPr>
          <w:b/>
          <w:sz w:val="28"/>
          <w:szCs w:val="28"/>
        </w:rPr>
      </w:pPr>
      <w:r w:rsidRPr="00773B00">
        <w:rPr>
          <w:b/>
          <w:sz w:val="28"/>
          <w:szCs w:val="28"/>
        </w:rPr>
        <w:t>Agosto 2018</w:t>
      </w:r>
    </w:p>
    <w:p w:rsidR="00773B00" w:rsidRDefault="00773B00" w:rsidP="00773B00">
      <w:pPr>
        <w:spacing w:after="0" w:line="360" w:lineRule="auto"/>
        <w:ind w:left="567"/>
        <w:jc w:val="both"/>
        <w:rPr>
          <w:b/>
          <w:sz w:val="28"/>
          <w:szCs w:val="28"/>
        </w:rPr>
      </w:pPr>
      <w:r w:rsidRPr="00773B00">
        <w:rPr>
          <w:b/>
          <w:sz w:val="28"/>
          <w:szCs w:val="28"/>
        </w:rPr>
        <w:t xml:space="preserve">Nota a cura avv. Oropallo </w:t>
      </w:r>
    </w:p>
    <w:p w:rsidR="00B5312D" w:rsidRDefault="00B5312D" w:rsidP="00773B00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B5312D" w:rsidRDefault="00B5312D" w:rsidP="00773B00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B5312D" w:rsidRDefault="00B5312D" w:rsidP="00773B00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B5312D" w:rsidRDefault="00B5312D" w:rsidP="00773B00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B5312D" w:rsidRDefault="00B5312D" w:rsidP="00773B00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B5312D" w:rsidRDefault="00B5312D" w:rsidP="00773B00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B5312D" w:rsidRDefault="00B5312D" w:rsidP="00773B00">
      <w:pPr>
        <w:spacing w:after="0" w:line="360" w:lineRule="auto"/>
        <w:ind w:left="567"/>
        <w:jc w:val="both"/>
        <w:rPr>
          <w:b/>
          <w:sz w:val="28"/>
          <w:szCs w:val="28"/>
        </w:rPr>
      </w:pPr>
      <w:bookmarkStart w:id="0" w:name="_GoBack"/>
      <w:bookmarkEnd w:id="0"/>
    </w:p>
    <w:p w:rsidR="00B5312D" w:rsidRDefault="00B5312D" w:rsidP="00773B00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B5312D" w:rsidRPr="00B5312D" w:rsidRDefault="00B5312D" w:rsidP="00B5312D">
      <w:pPr>
        <w:spacing w:after="0" w:line="360" w:lineRule="auto"/>
        <w:ind w:left="567"/>
        <w:jc w:val="center"/>
        <w:rPr>
          <w:b/>
          <w:bCs/>
          <w:i/>
          <w:iCs/>
          <w:sz w:val="28"/>
          <w:szCs w:val="28"/>
        </w:rPr>
      </w:pPr>
      <w:r w:rsidRPr="00B5312D">
        <w:rPr>
          <w:b/>
          <w:bCs/>
          <w:i/>
          <w:iCs/>
          <w:sz w:val="28"/>
          <w:szCs w:val="28"/>
        </w:rPr>
        <w:t>Via Matilde Serao, 20 – 47521 CESENA</w:t>
      </w:r>
    </w:p>
    <w:p w:rsidR="00B5312D" w:rsidRPr="00B5312D" w:rsidRDefault="00B5312D" w:rsidP="00B5312D">
      <w:pPr>
        <w:spacing w:after="0" w:line="360" w:lineRule="auto"/>
        <w:ind w:left="567"/>
        <w:jc w:val="center"/>
        <w:rPr>
          <w:b/>
          <w:sz w:val="28"/>
          <w:szCs w:val="28"/>
        </w:rPr>
      </w:pPr>
      <w:r w:rsidRPr="00B5312D">
        <w:rPr>
          <w:b/>
          <w:bCs/>
          <w:sz w:val="28"/>
          <w:szCs w:val="28"/>
        </w:rPr>
        <w:t>www.centrostudigiuridicikoine.eu</w:t>
      </w:r>
    </w:p>
    <w:p w:rsidR="00B5312D" w:rsidRPr="00773B00" w:rsidRDefault="00B5312D" w:rsidP="00B5312D">
      <w:pPr>
        <w:spacing w:after="0" w:line="360" w:lineRule="auto"/>
        <w:ind w:left="567"/>
        <w:jc w:val="center"/>
        <w:rPr>
          <w:b/>
          <w:sz w:val="28"/>
          <w:szCs w:val="28"/>
        </w:rPr>
      </w:pPr>
    </w:p>
    <w:sectPr w:rsidR="00B5312D" w:rsidRPr="00773B00" w:rsidSect="00773B00">
      <w:pgSz w:w="11906" w:h="16838"/>
      <w:pgMar w:top="1417" w:right="22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00"/>
    <w:rsid w:val="00082640"/>
    <w:rsid w:val="002A4FB0"/>
    <w:rsid w:val="00605EB2"/>
    <w:rsid w:val="00773B00"/>
    <w:rsid w:val="00B5312D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8AB6F-7B8B-4126-B0E6-E17CAA03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5</cp:revision>
  <dcterms:created xsi:type="dcterms:W3CDTF">2018-08-20T14:17:00Z</dcterms:created>
  <dcterms:modified xsi:type="dcterms:W3CDTF">2018-08-21T16:31:00Z</dcterms:modified>
</cp:coreProperties>
</file>