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E31" w:rsidRDefault="009B7E31" w:rsidP="00F23A58">
      <w:pPr>
        <w:ind w:left="567" w:hanging="567"/>
        <w:jc w:val="center"/>
        <w:rPr>
          <w:b/>
          <w:sz w:val="32"/>
          <w:szCs w:val="32"/>
        </w:rPr>
      </w:pPr>
    </w:p>
    <w:p w:rsidR="00EC6FB8" w:rsidRPr="00F23A58" w:rsidRDefault="00DC4AE3" w:rsidP="00F23A58">
      <w:pPr>
        <w:ind w:left="567" w:hanging="567"/>
        <w:jc w:val="center"/>
        <w:rPr>
          <w:b/>
          <w:sz w:val="32"/>
          <w:szCs w:val="32"/>
        </w:rPr>
      </w:pPr>
      <w:r w:rsidRPr="00F23A58">
        <w:rPr>
          <w:b/>
          <w:sz w:val="32"/>
          <w:szCs w:val="32"/>
        </w:rPr>
        <w:t>INDENNIZZO PER RITARDO DELL’AEREO</w:t>
      </w:r>
    </w:p>
    <w:p w:rsidR="00DC4AE3" w:rsidRDefault="00DC4AE3" w:rsidP="00F23A58">
      <w:pPr>
        <w:spacing w:after="0" w:line="360" w:lineRule="auto"/>
        <w:ind w:left="567"/>
        <w:jc w:val="both"/>
        <w:rPr>
          <w:i/>
          <w:sz w:val="28"/>
          <w:szCs w:val="28"/>
        </w:rPr>
      </w:pPr>
      <w:r w:rsidRPr="00DC4AE3">
        <w:rPr>
          <w:sz w:val="28"/>
          <w:szCs w:val="28"/>
        </w:rPr>
        <w:t>In base al regolamento UE n. 261/2004 i passeggeri hanno diritto ad un indennizzo per ritardo superiore a tre ore, per voli all’interno dell’</w:t>
      </w:r>
      <w:r>
        <w:rPr>
          <w:sz w:val="28"/>
          <w:szCs w:val="28"/>
        </w:rPr>
        <w:t>UE, di 250 euro per tutte le tratte pari o inferiori a 1.500 Km o pari a 400 eur</w:t>
      </w:r>
      <w:r w:rsidR="00F33316">
        <w:rPr>
          <w:sz w:val="28"/>
          <w:szCs w:val="28"/>
        </w:rPr>
        <w:t>o se la tratta supera i 1.500</w:t>
      </w:r>
      <w:r>
        <w:rPr>
          <w:sz w:val="28"/>
          <w:szCs w:val="28"/>
        </w:rPr>
        <w:t xml:space="preserve"> km e per tutte le altre comprese tra i 1.500 e i 3.000 km o a 600 euro per tutte le altre rotte. Al fine di stabilire il soggetto su cui grava l’indennizzo la Corte di Giustizia dell’UE co</w:t>
      </w:r>
      <w:r w:rsidR="00F33316">
        <w:rPr>
          <w:sz w:val="28"/>
          <w:szCs w:val="28"/>
        </w:rPr>
        <w:t>n sentenza del 4.7.2018 Causa C-</w:t>
      </w:r>
      <w:r>
        <w:rPr>
          <w:sz w:val="28"/>
          <w:szCs w:val="28"/>
        </w:rPr>
        <w:t>532/17 ha stabilito che il vettore che si limita a noleggiare i suoi aerei e a fornire l’equipaggio, senza però assumere alcuna responsabilità operativa dei voli, non può essere ritenuto responsabile ai fini dell’indennizzo, essendo irrilevante la circostanza che la conferma della prenotazione di un posto su un volo indichi come vettore quello che ha fornito l’aereo</w:t>
      </w:r>
      <w:r w:rsidR="00F23A58">
        <w:rPr>
          <w:sz w:val="28"/>
          <w:szCs w:val="28"/>
        </w:rPr>
        <w:t xml:space="preserve">mobile in </w:t>
      </w:r>
      <w:r w:rsidR="00F23A58" w:rsidRPr="00F23A58">
        <w:rPr>
          <w:i/>
          <w:sz w:val="28"/>
          <w:szCs w:val="28"/>
        </w:rPr>
        <w:t>wet lease.</w:t>
      </w:r>
    </w:p>
    <w:p w:rsidR="00F23A58" w:rsidRPr="00F23A58" w:rsidRDefault="00F23A58" w:rsidP="00F23A58">
      <w:pPr>
        <w:spacing w:after="0" w:line="360" w:lineRule="auto"/>
        <w:ind w:left="567"/>
        <w:jc w:val="both"/>
        <w:rPr>
          <w:b/>
          <w:sz w:val="28"/>
          <w:szCs w:val="28"/>
        </w:rPr>
      </w:pPr>
      <w:r w:rsidRPr="00F23A58">
        <w:rPr>
          <w:b/>
          <w:sz w:val="28"/>
          <w:szCs w:val="28"/>
        </w:rPr>
        <w:t>Agosto 2018</w:t>
      </w:r>
    </w:p>
    <w:p w:rsidR="00F23A58" w:rsidRDefault="00F23A58" w:rsidP="00F23A58">
      <w:pPr>
        <w:spacing w:after="0" w:line="360" w:lineRule="auto"/>
        <w:ind w:left="567"/>
        <w:jc w:val="both"/>
        <w:rPr>
          <w:b/>
          <w:sz w:val="28"/>
          <w:szCs w:val="28"/>
        </w:rPr>
      </w:pPr>
      <w:r w:rsidRPr="00F23A58">
        <w:rPr>
          <w:b/>
          <w:sz w:val="28"/>
          <w:szCs w:val="28"/>
        </w:rPr>
        <w:t xml:space="preserve">Nota a cura avv. Oropallo </w:t>
      </w:r>
    </w:p>
    <w:p w:rsidR="009B7E31" w:rsidRDefault="009B7E31" w:rsidP="00F23A58">
      <w:pPr>
        <w:spacing w:after="0" w:line="360" w:lineRule="auto"/>
        <w:ind w:left="567"/>
        <w:jc w:val="both"/>
        <w:rPr>
          <w:b/>
          <w:sz w:val="28"/>
          <w:szCs w:val="28"/>
        </w:rPr>
      </w:pPr>
    </w:p>
    <w:p w:rsidR="009B7E31" w:rsidRDefault="009B7E31" w:rsidP="00F23A58">
      <w:pPr>
        <w:spacing w:after="0" w:line="360" w:lineRule="auto"/>
        <w:ind w:left="567"/>
        <w:jc w:val="both"/>
        <w:rPr>
          <w:b/>
          <w:sz w:val="28"/>
          <w:szCs w:val="28"/>
        </w:rPr>
      </w:pPr>
    </w:p>
    <w:p w:rsidR="009B7E31" w:rsidRDefault="009B7E31" w:rsidP="00F23A58">
      <w:pPr>
        <w:spacing w:after="0" w:line="360" w:lineRule="auto"/>
        <w:ind w:left="567"/>
        <w:jc w:val="both"/>
        <w:rPr>
          <w:b/>
          <w:sz w:val="28"/>
          <w:szCs w:val="28"/>
        </w:rPr>
      </w:pPr>
    </w:p>
    <w:p w:rsidR="009B7E31" w:rsidRDefault="009B7E31" w:rsidP="00F23A58">
      <w:pPr>
        <w:spacing w:after="0" w:line="360" w:lineRule="auto"/>
        <w:ind w:left="567"/>
        <w:jc w:val="both"/>
        <w:rPr>
          <w:b/>
          <w:sz w:val="28"/>
          <w:szCs w:val="28"/>
        </w:rPr>
      </w:pPr>
    </w:p>
    <w:p w:rsidR="009B7E31" w:rsidRDefault="009B7E31" w:rsidP="00F23A58">
      <w:pPr>
        <w:spacing w:after="0" w:line="360" w:lineRule="auto"/>
        <w:ind w:left="567"/>
        <w:jc w:val="both"/>
        <w:rPr>
          <w:b/>
          <w:sz w:val="28"/>
          <w:szCs w:val="28"/>
        </w:rPr>
      </w:pPr>
    </w:p>
    <w:p w:rsidR="009B7E31" w:rsidRDefault="009B7E31" w:rsidP="00F23A58">
      <w:pPr>
        <w:spacing w:after="0" w:line="360" w:lineRule="auto"/>
        <w:ind w:left="567"/>
        <w:jc w:val="both"/>
        <w:rPr>
          <w:b/>
          <w:sz w:val="28"/>
          <w:szCs w:val="28"/>
        </w:rPr>
      </w:pPr>
      <w:bookmarkStart w:id="0" w:name="_GoBack"/>
      <w:bookmarkEnd w:id="0"/>
    </w:p>
    <w:p w:rsidR="009B7E31" w:rsidRDefault="009B7E31" w:rsidP="00F23A58">
      <w:pPr>
        <w:spacing w:after="0" w:line="360" w:lineRule="auto"/>
        <w:ind w:left="567"/>
        <w:jc w:val="both"/>
        <w:rPr>
          <w:b/>
          <w:sz w:val="28"/>
          <w:szCs w:val="28"/>
        </w:rPr>
      </w:pPr>
    </w:p>
    <w:p w:rsidR="009B7E31" w:rsidRDefault="009B7E31" w:rsidP="00F23A58">
      <w:pPr>
        <w:spacing w:after="0" w:line="360" w:lineRule="auto"/>
        <w:ind w:left="567"/>
        <w:jc w:val="both"/>
        <w:rPr>
          <w:b/>
          <w:sz w:val="28"/>
          <w:szCs w:val="28"/>
        </w:rPr>
      </w:pPr>
    </w:p>
    <w:p w:rsidR="009B7E31" w:rsidRPr="009B7E31" w:rsidRDefault="009B7E31" w:rsidP="009B7E31">
      <w:pPr>
        <w:spacing w:after="0" w:line="360" w:lineRule="auto"/>
        <w:ind w:left="567"/>
        <w:jc w:val="center"/>
        <w:rPr>
          <w:b/>
          <w:bCs/>
          <w:i/>
          <w:iCs/>
          <w:sz w:val="28"/>
          <w:szCs w:val="28"/>
        </w:rPr>
      </w:pPr>
      <w:r w:rsidRPr="009B7E31">
        <w:rPr>
          <w:b/>
          <w:bCs/>
          <w:i/>
          <w:iCs/>
          <w:sz w:val="28"/>
          <w:szCs w:val="28"/>
        </w:rPr>
        <w:t>Via Matilde Serao, 20 – 47521 CESENA</w:t>
      </w:r>
    </w:p>
    <w:p w:rsidR="009B7E31" w:rsidRPr="009B7E31" w:rsidRDefault="009B7E31" w:rsidP="009B7E31">
      <w:pPr>
        <w:spacing w:after="0" w:line="360" w:lineRule="auto"/>
        <w:ind w:left="567"/>
        <w:jc w:val="center"/>
        <w:rPr>
          <w:b/>
          <w:sz w:val="28"/>
          <w:szCs w:val="28"/>
        </w:rPr>
      </w:pPr>
      <w:r w:rsidRPr="009B7E31">
        <w:rPr>
          <w:b/>
          <w:bCs/>
          <w:sz w:val="28"/>
          <w:szCs w:val="28"/>
        </w:rPr>
        <w:t>www.centrostudigiuridicikoine.eu</w:t>
      </w:r>
    </w:p>
    <w:p w:rsidR="009B7E31" w:rsidRPr="00F23A58" w:rsidRDefault="009B7E31" w:rsidP="009B7E31">
      <w:pPr>
        <w:spacing w:after="0" w:line="360" w:lineRule="auto"/>
        <w:ind w:left="567"/>
        <w:jc w:val="center"/>
        <w:rPr>
          <w:b/>
          <w:sz w:val="28"/>
          <w:szCs w:val="28"/>
        </w:rPr>
      </w:pPr>
    </w:p>
    <w:sectPr w:rsidR="009B7E31" w:rsidRPr="00F23A58" w:rsidSect="00F23A58">
      <w:headerReference w:type="default" r:id="rId6"/>
      <w:pgSz w:w="11906" w:h="16838"/>
      <w:pgMar w:top="1417" w:right="170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11C" w:rsidRDefault="00E6211C" w:rsidP="009B7E31">
      <w:pPr>
        <w:spacing w:after="0" w:line="240" w:lineRule="auto"/>
      </w:pPr>
      <w:r>
        <w:separator/>
      </w:r>
    </w:p>
  </w:endnote>
  <w:endnote w:type="continuationSeparator" w:id="0">
    <w:p w:rsidR="00E6211C" w:rsidRDefault="00E6211C" w:rsidP="009B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11C" w:rsidRDefault="00E6211C" w:rsidP="009B7E31">
      <w:pPr>
        <w:spacing w:after="0" w:line="240" w:lineRule="auto"/>
      </w:pPr>
      <w:r>
        <w:separator/>
      </w:r>
    </w:p>
  </w:footnote>
  <w:footnote w:type="continuationSeparator" w:id="0">
    <w:p w:rsidR="00E6211C" w:rsidRDefault="00E6211C" w:rsidP="009B7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E31" w:rsidRDefault="009B7E31" w:rsidP="009B7E31">
    <w:pPr>
      <w:pStyle w:val="Intestazione"/>
      <w:jc w:val="center"/>
    </w:pPr>
    <w:r>
      <w:rPr>
        <w:lang w:eastAsia="it-IT"/>
      </w:rPr>
      <w:drawing>
        <wp:inline distT="0" distB="0" distL="0" distR="0" wp14:anchorId="5144D388">
          <wp:extent cx="4425950" cy="7435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0" cy="7435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E3"/>
    <w:rsid w:val="009B7E31"/>
    <w:rsid w:val="00DC4AE3"/>
    <w:rsid w:val="00E6211C"/>
    <w:rsid w:val="00EC6FB8"/>
    <w:rsid w:val="00F23A58"/>
    <w:rsid w:val="00F333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A50F83-D1D1-430A-8BA1-5C591A8A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3A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3A58"/>
    <w:rPr>
      <w:rFonts w:ascii="Segoe UI" w:hAnsi="Segoe UI" w:cs="Segoe UI"/>
      <w:noProof/>
      <w:sz w:val="18"/>
      <w:szCs w:val="18"/>
    </w:rPr>
  </w:style>
  <w:style w:type="paragraph" w:styleId="Intestazione">
    <w:name w:val="header"/>
    <w:basedOn w:val="Normale"/>
    <w:link w:val="IntestazioneCarattere"/>
    <w:uiPriority w:val="99"/>
    <w:unhideWhenUsed/>
    <w:rsid w:val="009B7E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7E31"/>
    <w:rPr>
      <w:noProof/>
    </w:rPr>
  </w:style>
  <w:style w:type="paragraph" w:styleId="Pidipagina">
    <w:name w:val="footer"/>
    <w:basedOn w:val="Normale"/>
    <w:link w:val="PidipaginaCarattere"/>
    <w:uiPriority w:val="99"/>
    <w:unhideWhenUsed/>
    <w:rsid w:val="009B7E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7E3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151</Words>
  <Characters>862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3</cp:revision>
  <cp:lastPrinted>2018-08-21T16:26:00Z</cp:lastPrinted>
  <dcterms:created xsi:type="dcterms:W3CDTF">2018-08-20T13:43:00Z</dcterms:created>
  <dcterms:modified xsi:type="dcterms:W3CDTF">2018-08-21T16:29:00Z</dcterms:modified>
</cp:coreProperties>
</file>