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EB" w:rsidRDefault="00F56AEB" w:rsidP="006D7E18">
      <w:pPr>
        <w:jc w:val="center"/>
        <w:rPr>
          <w:b/>
          <w:sz w:val="28"/>
          <w:szCs w:val="28"/>
        </w:rPr>
      </w:pPr>
    </w:p>
    <w:p w:rsidR="00F56AEB" w:rsidRDefault="00F56AEB" w:rsidP="006D7E18">
      <w:pPr>
        <w:jc w:val="center"/>
        <w:rPr>
          <w:b/>
          <w:sz w:val="28"/>
          <w:szCs w:val="28"/>
        </w:rPr>
      </w:pPr>
    </w:p>
    <w:p w:rsidR="00EC6FB8" w:rsidRPr="006D7E18" w:rsidRDefault="006D7E18" w:rsidP="006D7E18">
      <w:pPr>
        <w:jc w:val="center"/>
        <w:rPr>
          <w:b/>
          <w:sz w:val="28"/>
          <w:szCs w:val="28"/>
        </w:rPr>
      </w:pPr>
      <w:r w:rsidRPr="006D7E18">
        <w:rPr>
          <w:b/>
          <w:sz w:val="28"/>
          <w:szCs w:val="28"/>
        </w:rPr>
        <w:t>CONDANNA DELL’UE PER UN PROCESSO TROPPO LUNGO</w:t>
      </w:r>
    </w:p>
    <w:p w:rsidR="006D7E18" w:rsidRDefault="006D7E18" w:rsidP="006D7E18">
      <w:pPr>
        <w:ind w:left="567"/>
        <w:jc w:val="both"/>
        <w:rPr>
          <w:sz w:val="28"/>
          <w:szCs w:val="28"/>
        </w:rPr>
      </w:pPr>
      <w:r w:rsidRPr="006D7E18">
        <w:rPr>
          <w:sz w:val="28"/>
          <w:szCs w:val="28"/>
        </w:rPr>
        <w:t xml:space="preserve">Per la prima volta nella sua storia la Corte di Giustizia dell’UE ha condannato l’UE a causa della durata eccessiva di un procedimento giurisdizionale svoltosi innanzi al Tribunale accogliendo il ricorso di due società che avevano lamentato la violazione dell’art. 47 della Corte dei diritti fondamentali dell’UE che assicura la durata ragionevole del processo. Osservano gli eurogiudici che far passare 46 mesi tra </w:t>
      </w:r>
      <w:r>
        <w:rPr>
          <w:sz w:val="28"/>
          <w:szCs w:val="28"/>
        </w:rPr>
        <w:t>la fine della fase scritta e l’apertura di quella orale non è giustificabile malgrado la complessità delle cause sulla concorrenza condannando l’UE a pagare alle due società 47.064 euro, oltre interessi, per il danno materiale e 5 mila euro ad ognuna per il danno non patrimoniale causato dall’incertezza prolungata.</w:t>
      </w:r>
    </w:p>
    <w:p w:rsidR="006D7E18" w:rsidRDefault="006D7E18" w:rsidP="006D7E18">
      <w:pPr>
        <w:ind w:left="567"/>
        <w:jc w:val="both"/>
        <w:rPr>
          <w:sz w:val="28"/>
          <w:szCs w:val="28"/>
        </w:rPr>
      </w:pPr>
      <w:r>
        <w:rPr>
          <w:sz w:val="28"/>
          <w:szCs w:val="28"/>
        </w:rPr>
        <w:t>(CdG UE sentenza dell’11.1.2017)</w:t>
      </w:r>
    </w:p>
    <w:p w:rsidR="006D7E18" w:rsidRPr="006D7E18" w:rsidRDefault="006D7E18" w:rsidP="006D7E18">
      <w:pPr>
        <w:ind w:left="567"/>
        <w:jc w:val="both"/>
        <w:rPr>
          <w:b/>
          <w:sz w:val="28"/>
          <w:szCs w:val="28"/>
        </w:rPr>
      </w:pPr>
      <w:r w:rsidRPr="006D7E18">
        <w:rPr>
          <w:b/>
          <w:sz w:val="28"/>
          <w:szCs w:val="28"/>
        </w:rPr>
        <w:t>Agosto 2018</w:t>
      </w:r>
    </w:p>
    <w:p w:rsidR="006D7E18" w:rsidRDefault="006D7E18" w:rsidP="006D7E18">
      <w:pPr>
        <w:ind w:left="567"/>
        <w:jc w:val="both"/>
        <w:rPr>
          <w:b/>
          <w:sz w:val="28"/>
          <w:szCs w:val="28"/>
        </w:rPr>
      </w:pPr>
      <w:r w:rsidRPr="006D7E18">
        <w:rPr>
          <w:b/>
          <w:sz w:val="28"/>
          <w:szCs w:val="28"/>
        </w:rPr>
        <w:t xml:space="preserve">Nota a cura avv. E. Oropallo </w:t>
      </w:r>
    </w:p>
    <w:p w:rsidR="00F56AEB" w:rsidRDefault="00F56AEB" w:rsidP="006D7E18">
      <w:pPr>
        <w:ind w:left="567"/>
        <w:jc w:val="both"/>
        <w:rPr>
          <w:b/>
          <w:sz w:val="28"/>
          <w:szCs w:val="28"/>
        </w:rPr>
      </w:pPr>
    </w:p>
    <w:p w:rsidR="00F56AEB" w:rsidRDefault="00F56AEB" w:rsidP="006D7E18">
      <w:pPr>
        <w:ind w:left="567"/>
        <w:jc w:val="both"/>
        <w:rPr>
          <w:b/>
          <w:sz w:val="28"/>
          <w:szCs w:val="28"/>
        </w:rPr>
      </w:pPr>
    </w:p>
    <w:p w:rsidR="00F56AEB" w:rsidRDefault="00F56AEB" w:rsidP="006D7E18">
      <w:pPr>
        <w:ind w:left="567"/>
        <w:jc w:val="both"/>
        <w:rPr>
          <w:b/>
          <w:sz w:val="28"/>
          <w:szCs w:val="28"/>
        </w:rPr>
      </w:pPr>
    </w:p>
    <w:p w:rsidR="00F56AEB" w:rsidRDefault="00F56AEB" w:rsidP="006D7E18">
      <w:pPr>
        <w:ind w:left="567"/>
        <w:jc w:val="both"/>
        <w:rPr>
          <w:b/>
          <w:sz w:val="28"/>
          <w:szCs w:val="28"/>
        </w:rPr>
      </w:pPr>
      <w:bookmarkStart w:id="0" w:name="_GoBack"/>
      <w:bookmarkEnd w:id="0"/>
    </w:p>
    <w:p w:rsidR="00F56AEB" w:rsidRDefault="00F56AEB" w:rsidP="006D7E18">
      <w:pPr>
        <w:ind w:left="567"/>
        <w:jc w:val="both"/>
        <w:rPr>
          <w:b/>
          <w:sz w:val="28"/>
          <w:szCs w:val="28"/>
        </w:rPr>
      </w:pPr>
    </w:p>
    <w:p w:rsidR="00F56AEB" w:rsidRPr="00F56AEB" w:rsidRDefault="00F56AEB" w:rsidP="00F56AEB">
      <w:pPr>
        <w:ind w:left="567"/>
        <w:jc w:val="center"/>
        <w:rPr>
          <w:b/>
          <w:bCs/>
          <w:i/>
          <w:iCs/>
          <w:sz w:val="28"/>
          <w:szCs w:val="28"/>
        </w:rPr>
      </w:pPr>
      <w:r w:rsidRPr="00F56AEB">
        <w:rPr>
          <w:b/>
          <w:bCs/>
          <w:i/>
          <w:iCs/>
          <w:sz w:val="28"/>
          <w:szCs w:val="28"/>
        </w:rPr>
        <w:t>Via Matilde Serao, 20 – 47521 CESENA</w:t>
      </w:r>
    </w:p>
    <w:p w:rsidR="00F56AEB" w:rsidRPr="00F56AEB" w:rsidRDefault="00F56AEB" w:rsidP="00F56AEB">
      <w:pPr>
        <w:ind w:left="567"/>
        <w:jc w:val="center"/>
        <w:rPr>
          <w:b/>
          <w:sz w:val="28"/>
          <w:szCs w:val="28"/>
        </w:rPr>
      </w:pPr>
      <w:r w:rsidRPr="00F56AEB">
        <w:rPr>
          <w:b/>
          <w:bCs/>
          <w:sz w:val="28"/>
          <w:szCs w:val="28"/>
        </w:rPr>
        <w:t>www.centrostudigiuridicikoine.eu</w:t>
      </w:r>
    </w:p>
    <w:p w:rsidR="00F56AEB" w:rsidRPr="006D7E18" w:rsidRDefault="00F56AEB" w:rsidP="006D7E18">
      <w:pPr>
        <w:ind w:left="567"/>
        <w:jc w:val="both"/>
        <w:rPr>
          <w:b/>
          <w:sz w:val="28"/>
          <w:szCs w:val="28"/>
        </w:rPr>
      </w:pPr>
    </w:p>
    <w:sectPr w:rsidR="00F56AEB" w:rsidRPr="006D7E18" w:rsidSect="006D7E18">
      <w:headerReference w:type="default" r:id="rId6"/>
      <w:pgSz w:w="11906" w:h="16838"/>
      <w:pgMar w:top="1417" w:right="22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868" w:rsidRDefault="001C5868" w:rsidP="00F56AEB">
      <w:pPr>
        <w:spacing w:after="0" w:line="240" w:lineRule="auto"/>
      </w:pPr>
      <w:r>
        <w:separator/>
      </w:r>
    </w:p>
  </w:endnote>
  <w:endnote w:type="continuationSeparator" w:id="0">
    <w:p w:rsidR="001C5868" w:rsidRDefault="001C5868" w:rsidP="00F5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868" w:rsidRDefault="001C5868" w:rsidP="00F56AEB">
      <w:pPr>
        <w:spacing w:after="0" w:line="240" w:lineRule="auto"/>
      </w:pPr>
      <w:r>
        <w:separator/>
      </w:r>
    </w:p>
  </w:footnote>
  <w:footnote w:type="continuationSeparator" w:id="0">
    <w:p w:rsidR="001C5868" w:rsidRDefault="001C5868" w:rsidP="00F56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AEB" w:rsidRDefault="00F56AEB" w:rsidP="00F56AEB">
    <w:pPr>
      <w:pStyle w:val="Intestazione"/>
      <w:jc w:val="center"/>
    </w:pPr>
    <w:r>
      <w:rPr>
        <w:lang w:eastAsia="it-IT"/>
      </w:rPr>
      <w:drawing>
        <wp:inline distT="0" distB="0" distL="0" distR="0" wp14:anchorId="735F39AC">
          <wp:extent cx="4425950" cy="7435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0" cy="7435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18"/>
    <w:rsid w:val="001C5868"/>
    <w:rsid w:val="006D7E18"/>
    <w:rsid w:val="00EC6FB8"/>
    <w:rsid w:val="00F56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57350F-5014-4CCC-AFE5-2BF3FAF8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6A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6AEB"/>
    <w:rPr>
      <w:noProof/>
    </w:rPr>
  </w:style>
  <w:style w:type="paragraph" w:styleId="Pidipagina">
    <w:name w:val="footer"/>
    <w:basedOn w:val="Normale"/>
    <w:link w:val="PidipaginaCarattere"/>
    <w:uiPriority w:val="99"/>
    <w:unhideWhenUsed/>
    <w:rsid w:val="00F56A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6AE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cp:revision>
  <dcterms:created xsi:type="dcterms:W3CDTF">2018-08-20T15:35:00Z</dcterms:created>
  <dcterms:modified xsi:type="dcterms:W3CDTF">2018-08-21T16:29:00Z</dcterms:modified>
</cp:coreProperties>
</file>