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B92" w:rsidRDefault="00FE3B92" w:rsidP="00FE3B92">
      <w:pPr>
        <w:jc w:val="center"/>
        <w:rPr>
          <w:b/>
          <w:sz w:val="28"/>
          <w:szCs w:val="28"/>
        </w:rPr>
      </w:pPr>
      <w:r>
        <w:rPr>
          <w:lang w:eastAsia="it-IT"/>
        </w:rPr>
        <w:drawing>
          <wp:inline distT="0" distB="0" distL="0" distR="0" wp14:anchorId="4C2273F5" wp14:editId="5C8CF39A">
            <wp:extent cx="4779645" cy="786765"/>
            <wp:effectExtent l="0" t="0" r="190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64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2F8A" w:rsidRDefault="00A22F8A" w:rsidP="00173313">
      <w:pPr>
        <w:jc w:val="both"/>
        <w:rPr>
          <w:b/>
          <w:sz w:val="28"/>
          <w:szCs w:val="28"/>
        </w:rPr>
      </w:pPr>
    </w:p>
    <w:p w:rsidR="00EC6FB8" w:rsidRPr="00430C9C" w:rsidRDefault="00B11472" w:rsidP="00173313">
      <w:pPr>
        <w:jc w:val="both"/>
        <w:rPr>
          <w:b/>
          <w:sz w:val="28"/>
          <w:szCs w:val="28"/>
        </w:rPr>
      </w:pPr>
      <w:r w:rsidRPr="00430C9C">
        <w:rPr>
          <w:b/>
          <w:sz w:val="28"/>
          <w:szCs w:val="28"/>
        </w:rPr>
        <w:t>La traduzione del decreto di espulsione non basta per garantire il diritto alla partenza “volontaria”.</w:t>
      </w:r>
    </w:p>
    <w:p w:rsidR="00DC0E94" w:rsidRPr="00430C9C" w:rsidRDefault="00B11472" w:rsidP="00DC0E94">
      <w:pPr>
        <w:jc w:val="both"/>
        <w:rPr>
          <w:sz w:val="28"/>
          <w:szCs w:val="28"/>
        </w:rPr>
      </w:pPr>
      <w:r w:rsidRPr="00430C9C">
        <w:rPr>
          <w:sz w:val="28"/>
          <w:szCs w:val="28"/>
        </w:rPr>
        <w:t>Lo ha stabilito la Corte di Cassazione con sentenza n. 28158/17 del 24.11 u.s. in quanto il decreto di espulsione, pur tradotto nella lingua ufficiale dello Stato di appartenenza del cittadino extracomunitario, non garantisc</w:t>
      </w:r>
      <w:r w:rsidR="00DC0E94" w:rsidRPr="00430C9C">
        <w:rPr>
          <w:sz w:val="28"/>
          <w:szCs w:val="28"/>
        </w:rPr>
        <w:t xml:space="preserve">e la conoscibilità di quanto previsto dall’art. 15 c. 5.1 ossia la facoltà per il cittadino di poter lasciare </w:t>
      </w:r>
      <w:r w:rsidR="00DC0E94" w:rsidRPr="00430C9C">
        <w:rPr>
          <w:b/>
          <w:sz w:val="28"/>
          <w:szCs w:val="28"/>
        </w:rPr>
        <w:t>spontaneamente</w:t>
      </w:r>
      <w:r w:rsidR="00DC0E94" w:rsidRPr="00430C9C">
        <w:rPr>
          <w:sz w:val="28"/>
          <w:szCs w:val="28"/>
        </w:rPr>
        <w:t xml:space="preserve"> il territorio dello Stato entro uno specifico termine.</w:t>
      </w:r>
      <w:r w:rsidR="00430C9C">
        <w:rPr>
          <w:sz w:val="28"/>
          <w:szCs w:val="28"/>
        </w:rPr>
        <w:t xml:space="preserve"> </w:t>
      </w:r>
      <w:r w:rsidR="00DC0E94" w:rsidRPr="00430C9C">
        <w:rPr>
          <w:sz w:val="28"/>
          <w:szCs w:val="28"/>
        </w:rPr>
        <w:t xml:space="preserve">La Suprema Corte, nel caso esaminato, ha ritenuto violato </w:t>
      </w:r>
      <w:r w:rsidR="00DC0E94" w:rsidRPr="00F82A74">
        <w:rPr>
          <w:sz w:val="28"/>
          <w:szCs w:val="28"/>
        </w:rPr>
        <w:t xml:space="preserve">il </w:t>
      </w:r>
      <w:r w:rsidR="0072562C" w:rsidRPr="00F82A74">
        <w:rPr>
          <w:sz w:val="28"/>
          <w:szCs w:val="28"/>
        </w:rPr>
        <w:t>diritto di opzione</w:t>
      </w:r>
      <w:r w:rsidR="00DC0E94" w:rsidRPr="00430C9C">
        <w:rPr>
          <w:sz w:val="28"/>
          <w:szCs w:val="28"/>
        </w:rPr>
        <w:t xml:space="preserve"> riconosciuto dall’art. 15 comma 5.1 d.lgs. n. 286/1998 </w:t>
      </w:r>
      <w:r w:rsidR="0072562C" w:rsidRPr="00F82A74">
        <w:rPr>
          <w:sz w:val="28"/>
          <w:szCs w:val="28"/>
        </w:rPr>
        <w:t>che</w:t>
      </w:r>
      <w:r w:rsidR="0072562C">
        <w:rPr>
          <w:sz w:val="28"/>
          <w:szCs w:val="28"/>
        </w:rPr>
        <w:t xml:space="preserve"> </w:t>
      </w:r>
      <w:r w:rsidR="00DC0E94" w:rsidRPr="00430C9C">
        <w:rPr>
          <w:sz w:val="28"/>
          <w:szCs w:val="28"/>
        </w:rPr>
        <w:t>prevede che lo straniero abbia la facoltà di richiedere “</w:t>
      </w:r>
      <w:r w:rsidR="00DC0E94" w:rsidRPr="00430C9C">
        <w:rPr>
          <w:i/>
          <w:sz w:val="28"/>
          <w:szCs w:val="28"/>
        </w:rPr>
        <w:t>un termine per la partenza volontaria, mediante schede informative plurilingue</w:t>
      </w:r>
      <w:r w:rsidR="00DC0E94" w:rsidRPr="00430C9C">
        <w:rPr>
          <w:sz w:val="28"/>
          <w:szCs w:val="28"/>
        </w:rPr>
        <w:t>”</w:t>
      </w:r>
      <w:r w:rsidR="00430C9C">
        <w:rPr>
          <w:sz w:val="28"/>
          <w:szCs w:val="28"/>
        </w:rPr>
        <w:t xml:space="preserve">. </w:t>
      </w:r>
      <w:r w:rsidR="00DC0E94" w:rsidRPr="00430C9C">
        <w:rPr>
          <w:sz w:val="28"/>
          <w:szCs w:val="28"/>
        </w:rPr>
        <w:t xml:space="preserve">Insomma l’interessato non è stato messo in grado di esercitare in concreto un proprio diritto che è stato violato dalla </w:t>
      </w:r>
      <w:r w:rsidR="00DC0E94" w:rsidRPr="00F82A74">
        <w:rPr>
          <w:sz w:val="28"/>
          <w:szCs w:val="28"/>
        </w:rPr>
        <w:t>manca</w:t>
      </w:r>
      <w:r w:rsidR="0072562C" w:rsidRPr="00F82A74">
        <w:rPr>
          <w:sz w:val="28"/>
          <w:szCs w:val="28"/>
        </w:rPr>
        <w:t>t</w:t>
      </w:r>
      <w:r w:rsidR="00DC0E94" w:rsidRPr="00F82A74">
        <w:rPr>
          <w:sz w:val="28"/>
          <w:szCs w:val="28"/>
        </w:rPr>
        <w:t>a</w:t>
      </w:r>
      <w:r w:rsidR="00DC0E94" w:rsidRPr="00430C9C">
        <w:rPr>
          <w:sz w:val="28"/>
          <w:szCs w:val="28"/>
        </w:rPr>
        <w:t xml:space="preserve"> informativa che gli d</w:t>
      </w:r>
      <w:r w:rsidR="00173313">
        <w:rPr>
          <w:sz w:val="28"/>
          <w:szCs w:val="28"/>
        </w:rPr>
        <w:t>o</w:t>
      </w:r>
      <w:r w:rsidR="00DC0E94" w:rsidRPr="00430C9C">
        <w:rPr>
          <w:sz w:val="28"/>
          <w:szCs w:val="28"/>
        </w:rPr>
        <w:t>veva essere fornita.</w:t>
      </w:r>
    </w:p>
    <w:p w:rsidR="00DC0E94" w:rsidRPr="00430C9C" w:rsidRDefault="00DC0E94" w:rsidP="00DC0E94">
      <w:pPr>
        <w:jc w:val="both"/>
        <w:rPr>
          <w:b/>
          <w:sz w:val="28"/>
          <w:szCs w:val="28"/>
        </w:rPr>
      </w:pPr>
      <w:r w:rsidRPr="00430C9C">
        <w:rPr>
          <w:b/>
          <w:sz w:val="28"/>
          <w:szCs w:val="28"/>
        </w:rPr>
        <w:t>Fonte</w:t>
      </w:r>
    </w:p>
    <w:p w:rsidR="00DC0E94" w:rsidRPr="00430C9C" w:rsidRDefault="00DC0E94" w:rsidP="00DC0E94">
      <w:pPr>
        <w:jc w:val="both"/>
        <w:rPr>
          <w:b/>
          <w:sz w:val="28"/>
          <w:szCs w:val="28"/>
        </w:rPr>
      </w:pPr>
      <w:r w:rsidRPr="00430C9C">
        <w:rPr>
          <w:b/>
          <w:sz w:val="28"/>
          <w:szCs w:val="28"/>
        </w:rPr>
        <w:t>D&amp;G 27.11.2017</w:t>
      </w:r>
    </w:p>
    <w:p w:rsidR="00DC0E94" w:rsidRPr="00430C9C" w:rsidRDefault="00DC0E94" w:rsidP="00DC0E94">
      <w:pPr>
        <w:jc w:val="both"/>
        <w:rPr>
          <w:b/>
          <w:sz w:val="28"/>
          <w:szCs w:val="28"/>
        </w:rPr>
      </w:pPr>
      <w:r w:rsidRPr="00430C9C">
        <w:rPr>
          <w:b/>
          <w:sz w:val="28"/>
          <w:szCs w:val="28"/>
        </w:rPr>
        <w:t xml:space="preserve">Nota a cura avv. E. Oropallo </w:t>
      </w:r>
    </w:p>
    <w:p w:rsidR="00DC0E94" w:rsidRDefault="00DC0E94" w:rsidP="00DC0E94">
      <w:pPr>
        <w:jc w:val="both"/>
      </w:pPr>
    </w:p>
    <w:p w:rsidR="00FE3B92" w:rsidRDefault="00FE3B92" w:rsidP="00DC0E94">
      <w:pPr>
        <w:jc w:val="both"/>
      </w:pPr>
    </w:p>
    <w:p w:rsidR="00FE3B92" w:rsidRDefault="00FE3B92" w:rsidP="00DC0E94">
      <w:pPr>
        <w:jc w:val="both"/>
      </w:pPr>
    </w:p>
    <w:p w:rsidR="00FE3B92" w:rsidRDefault="00FE3B92" w:rsidP="00DC0E94">
      <w:pPr>
        <w:jc w:val="both"/>
      </w:pPr>
    </w:p>
    <w:p w:rsidR="00FE3B92" w:rsidRDefault="00FE3B92" w:rsidP="00DC0E94">
      <w:pPr>
        <w:jc w:val="both"/>
      </w:pPr>
    </w:p>
    <w:p w:rsidR="00FE3B92" w:rsidRDefault="00FE3B92" w:rsidP="00DC0E94">
      <w:pPr>
        <w:jc w:val="both"/>
      </w:pPr>
    </w:p>
    <w:p w:rsidR="00FE3B92" w:rsidRDefault="00FE3B92" w:rsidP="00DC0E94">
      <w:pPr>
        <w:jc w:val="both"/>
      </w:pPr>
    </w:p>
    <w:p w:rsidR="00A22F8A" w:rsidRDefault="00A22F8A" w:rsidP="00DC0E94">
      <w:pPr>
        <w:jc w:val="both"/>
      </w:pPr>
    </w:p>
    <w:p w:rsidR="00A22F8A" w:rsidRDefault="00A22F8A" w:rsidP="00DC0E94">
      <w:pPr>
        <w:jc w:val="both"/>
      </w:pPr>
    </w:p>
    <w:p w:rsidR="00FE3B92" w:rsidRDefault="00FE3B92" w:rsidP="00DC0E94">
      <w:pPr>
        <w:jc w:val="both"/>
      </w:pPr>
    </w:p>
    <w:p w:rsidR="00FE3B92" w:rsidRDefault="00FE3B92" w:rsidP="00DC0E94">
      <w:pPr>
        <w:jc w:val="both"/>
      </w:pPr>
    </w:p>
    <w:p w:rsidR="00A22F8A" w:rsidRPr="00A22F8A" w:rsidRDefault="00A22F8A" w:rsidP="00A22F8A">
      <w:pPr>
        <w:jc w:val="center"/>
        <w:rPr>
          <w:b/>
          <w:bCs/>
          <w:i/>
        </w:rPr>
      </w:pPr>
      <w:r w:rsidRPr="00A22F8A">
        <w:rPr>
          <w:b/>
          <w:bCs/>
          <w:i/>
        </w:rPr>
        <w:t>Via Matilde Serao, 20 – 47521 CESENA</w:t>
      </w:r>
    </w:p>
    <w:p w:rsidR="00A22F8A" w:rsidRPr="00A22F8A" w:rsidRDefault="00A22F8A" w:rsidP="00A22F8A">
      <w:pPr>
        <w:jc w:val="center"/>
      </w:pPr>
      <w:hyperlink r:id="rId5" w:history="1">
        <w:r w:rsidRPr="00A22F8A">
          <w:rPr>
            <w:rStyle w:val="Collegamentoipertestuale"/>
            <w:b/>
            <w:bCs/>
          </w:rPr>
          <w:t>www.centrostudigiuridicikoine.eu</w:t>
        </w:r>
      </w:hyperlink>
      <w:bookmarkStart w:id="0" w:name="_GoBack"/>
      <w:bookmarkEnd w:id="0"/>
    </w:p>
    <w:sectPr w:rsidR="00A22F8A" w:rsidRPr="00A22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72"/>
    <w:rsid w:val="00173313"/>
    <w:rsid w:val="00430C9C"/>
    <w:rsid w:val="004E61DC"/>
    <w:rsid w:val="0072562C"/>
    <w:rsid w:val="00A22F8A"/>
    <w:rsid w:val="00B11472"/>
    <w:rsid w:val="00DC0E94"/>
    <w:rsid w:val="00EC6FB8"/>
    <w:rsid w:val="00F82A74"/>
    <w:rsid w:val="00FE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B2A3F-5804-44CD-97B5-6D28E3DD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6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61DC"/>
    <w:rPr>
      <w:rFonts w:ascii="Segoe UI" w:hAnsi="Segoe UI" w:cs="Segoe UI"/>
      <w:noProof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22F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ntrostudigiuridicikoine.e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7</cp:revision>
  <cp:lastPrinted>2017-12-12T10:21:00Z</cp:lastPrinted>
  <dcterms:created xsi:type="dcterms:W3CDTF">2017-12-11T16:53:00Z</dcterms:created>
  <dcterms:modified xsi:type="dcterms:W3CDTF">2017-12-12T10:56:00Z</dcterms:modified>
</cp:coreProperties>
</file>