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5D" w:rsidRDefault="00447E5D" w:rsidP="00E9393A">
      <w:pPr>
        <w:spacing w:after="0" w:line="360" w:lineRule="auto"/>
        <w:ind w:left="1134"/>
        <w:jc w:val="center"/>
        <w:rPr>
          <w:b/>
          <w:sz w:val="24"/>
          <w:szCs w:val="24"/>
          <w:lang w:val="it-IT"/>
        </w:rPr>
      </w:pPr>
    </w:p>
    <w:p w:rsidR="00447E5D" w:rsidRDefault="00447E5D" w:rsidP="00E9393A">
      <w:pPr>
        <w:spacing w:after="0" w:line="360" w:lineRule="auto"/>
        <w:ind w:left="1134"/>
        <w:jc w:val="center"/>
        <w:rPr>
          <w:b/>
          <w:sz w:val="24"/>
          <w:szCs w:val="24"/>
          <w:lang w:val="it-IT"/>
        </w:rPr>
      </w:pPr>
      <w:r>
        <w:rPr>
          <w:noProof/>
          <w:lang w:val="it-IT" w:eastAsia="it-IT"/>
        </w:rPr>
        <w:drawing>
          <wp:inline distT="0" distB="0" distL="0" distR="0" wp14:anchorId="78737349" wp14:editId="19F05E03">
            <wp:extent cx="4632960" cy="88455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2960" cy="884555"/>
                    </a:xfrm>
                    <a:prstGeom prst="rect">
                      <a:avLst/>
                    </a:prstGeom>
                    <a:noFill/>
                  </pic:spPr>
                </pic:pic>
              </a:graphicData>
            </a:graphic>
          </wp:inline>
        </w:drawing>
      </w:r>
    </w:p>
    <w:p w:rsidR="00447E5D" w:rsidRDefault="00447E5D" w:rsidP="00E9393A">
      <w:pPr>
        <w:spacing w:after="0" w:line="360" w:lineRule="auto"/>
        <w:ind w:left="1134"/>
        <w:jc w:val="center"/>
        <w:rPr>
          <w:b/>
          <w:sz w:val="24"/>
          <w:szCs w:val="24"/>
          <w:lang w:val="it-IT"/>
        </w:rPr>
      </w:pPr>
    </w:p>
    <w:p w:rsidR="00EC6FB8" w:rsidRPr="00E9393A" w:rsidRDefault="00E9393A" w:rsidP="00E9393A">
      <w:pPr>
        <w:spacing w:after="0" w:line="360" w:lineRule="auto"/>
        <w:ind w:left="1134"/>
        <w:jc w:val="center"/>
        <w:rPr>
          <w:b/>
          <w:sz w:val="24"/>
          <w:szCs w:val="24"/>
          <w:lang w:val="it-IT"/>
        </w:rPr>
      </w:pPr>
      <w:r w:rsidRPr="00E9393A">
        <w:rPr>
          <w:b/>
          <w:sz w:val="24"/>
          <w:szCs w:val="24"/>
          <w:lang w:val="it-IT"/>
        </w:rPr>
        <w:t>MANDATO DI ARRESTO EUROPEO</w:t>
      </w:r>
    </w:p>
    <w:p w:rsidR="00E9393A" w:rsidRPr="00E9393A" w:rsidRDefault="00E9393A" w:rsidP="00E9393A">
      <w:pPr>
        <w:spacing w:after="0" w:line="360" w:lineRule="auto"/>
        <w:ind w:left="1134"/>
        <w:jc w:val="both"/>
        <w:rPr>
          <w:sz w:val="24"/>
          <w:szCs w:val="24"/>
          <w:lang w:val="it-IT"/>
        </w:rPr>
      </w:pPr>
      <w:r w:rsidRPr="00E9393A">
        <w:rPr>
          <w:sz w:val="24"/>
          <w:szCs w:val="24"/>
          <w:lang w:val="it-IT"/>
        </w:rPr>
        <w:t xml:space="preserve">Prima di dare esecuzione ad un mandato di arresto europeo le autorità nazionali devono verificare l’esistenza di un </w:t>
      </w:r>
      <w:r w:rsidR="004B310F">
        <w:rPr>
          <w:sz w:val="24"/>
          <w:szCs w:val="24"/>
          <w:lang w:val="it-IT"/>
        </w:rPr>
        <w:t>radicamento reale del condannato</w:t>
      </w:r>
      <w:r w:rsidRPr="00E9393A">
        <w:rPr>
          <w:sz w:val="24"/>
          <w:szCs w:val="24"/>
          <w:lang w:val="it-IT"/>
        </w:rPr>
        <w:t xml:space="preserve"> sul territorio italiano secondo i criteri forniti dalla Corte di Giustizia della UE. </w:t>
      </w:r>
      <w:r w:rsidRPr="00E9393A">
        <w:rPr>
          <w:b/>
          <w:sz w:val="24"/>
          <w:szCs w:val="24"/>
          <w:lang w:val="it-IT"/>
        </w:rPr>
        <w:t xml:space="preserve">La Corte di Cassazione – 6° Sez. Pen. con sentenza n. 26513/17 depositata il 26.5 </w:t>
      </w:r>
      <w:r w:rsidRPr="00E9393A">
        <w:rPr>
          <w:sz w:val="24"/>
          <w:szCs w:val="24"/>
          <w:lang w:val="it-IT"/>
        </w:rPr>
        <w:t>– su ricorso di un cittadino rumeno-</w:t>
      </w:r>
      <w:r w:rsidRPr="00E9393A">
        <w:rPr>
          <w:b/>
          <w:sz w:val="24"/>
          <w:szCs w:val="24"/>
          <w:lang w:val="it-IT"/>
        </w:rPr>
        <w:t xml:space="preserve"> </w:t>
      </w:r>
      <w:r w:rsidRPr="00E9393A">
        <w:rPr>
          <w:sz w:val="24"/>
          <w:szCs w:val="24"/>
          <w:lang w:val="it-IT"/>
        </w:rPr>
        <w:t xml:space="preserve">ha ritenuto che la sentenza emessa dalla Corte di Appello di Salerno con la quale era stata disposta l’esecuzione della sentenza rumena di condanna che richiedeva l’esecuzione del mandato di arresto europeo emesso nei confronti del rumeno – non avesse applicato i criteri per l’accertamento della permanenza nel territorio dello stesso in quanto risultava un radicamento reale e non estemporaneo dello stesso con continuità temporale e stabilita. La Corte d’Appello, </w:t>
      </w:r>
      <w:r w:rsidRPr="00E9393A">
        <w:rPr>
          <w:b/>
          <w:sz w:val="24"/>
          <w:szCs w:val="24"/>
          <w:lang w:val="it-IT"/>
        </w:rPr>
        <w:t>scrive la Cassazione, avrebbe dovuto rifiutare la consegna alla luce dell’art. 18 della legge n.69/2005</w:t>
      </w:r>
      <w:r w:rsidRPr="00E9393A">
        <w:rPr>
          <w:sz w:val="24"/>
          <w:szCs w:val="24"/>
          <w:lang w:val="it-IT"/>
        </w:rPr>
        <w:t xml:space="preserve"> che -  come chiarito dalla Corte Costituzionale con la sentenza n. 227/2010 si applica anche ai cittadini di paesi UE “</w:t>
      </w:r>
      <w:r w:rsidRPr="00E9393A">
        <w:rPr>
          <w:i/>
          <w:sz w:val="24"/>
          <w:szCs w:val="24"/>
          <w:lang w:val="it-IT"/>
        </w:rPr>
        <w:t>che risultano residenti o stabilmente dimoranti in Italia</w:t>
      </w:r>
      <w:r w:rsidRPr="00E9393A">
        <w:rPr>
          <w:sz w:val="24"/>
          <w:szCs w:val="24"/>
          <w:lang w:val="it-IT"/>
        </w:rPr>
        <w:t>”.</w:t>
      </w:r>
    </w:p>
    <w:p w:rsidR="00E9393A" w:rsidRPr="00E9393A" w:rsidRDefault="00E9393A" w:rsidP="00E9393A">
      <w:pPr>
        <w:spacing w:after="0" w:line="360" w:lineRule="auto"/>
        <w:ind w:left="1134"/>
        <w:jc w:val="both"/>
        <w:rPr>
          <w:b/>
          <w:sz w:val="24"/>
          <w:szCs w:val="24"/>
          <w:lang w:val="it-IT"/>
        </w:rPr>
      </w:pPr>
      <w:r w:rsidRPr="00E9393A">
        <w:rPr>
          <w:b/>
          <w:sz w:val="24"/>
          <w:szCs w:val="24"/>
          <w:lang w:val="it-IT"/>
        </w:rPr>
        <w:t>Fonte:</w:t>
      </w:r>
    </w:p>
    <w:p w:rsidR="00E9393A" w:rsidRPr="00E9393A" w:rsidRDefault="00E9393A" w:rsidP="00E9393A">
      <w:pPr>
        <w:spacing w:after="0" w:line="360" w:lineRule="auto"/>
        <w:ind w:left="1134"/>
        <w:jc w:val="both"/>
        <w:rPr>
          <w:b/>
          <w:sz w:val="24"/>
          <w:szCs w:val="24"/>
          <w:lang w:val="it-IT"/>
        </w:rPr>
      </w:pPr>
      <w:r w:rsidRPr="00E9393A">
        <w:rPr>
          <w:b/>
          <w:sz w:val="24"/>
          <w:szCs w:val="24"/>
          <w:lang w:val="it-IT"/>
        </w:rPr>
        <w:t>www.marinacastellaneta.it</w:t>
      </w:r>
    </w:p>
    <w:p w:rsidR="00E9393A" w:rsidRPr="00E9393A" w:rsidRDefault="00E9393A" w:rsidP="00E9393A">
      <w:pPr>
        <w:spacing w:after="0" w:line="360" w:lineRule="auto"/>
        <w:ind w:left="1134"/>
        <w:jc w:val="both"/>
        <w:rPr>
          <w:b/>
          <w:sz w:val="24"/>
          <w:szCs w:val="24"/>
          <w:lang w:val="it-IT"/>
        </w:rPr>
      </w:pPr>
      <w:r w:rsidRPr="00E9393A">
        <w:rPr>
          <w:b/>
          <w:sz w:val="24"/>
          <w:szCs w:val="24"/>
          <w:lang w:val="it-IT"/>
        </w:rPr>
        <w:t>Agosto 2017</w:t>
      </w:r>
    </w:p>
    <w:p w:rsidR="00E9393A" w:rsidRDefault="00E9393A" w:rsidP="00E9393A">
      <w:pPr>
        <w:spacing w:after="0" w:line="360" w:lineRule="auto"/>
        <w:ind w:left="1134"/>
        <w:jc w:val="both"/>
        <w:rPr>
          <w:b/>
          <w:sz w:val="24"/>
          <w:szCs w:val="24"/>
          <w:lang w:val="it-IT"/>
        </w:rPr>
      </w:pPr>
      <w:r w:rsidRPr="00E9393A">
        <w:rPr>
          <w:b/>
          <w:sz w:val="24"/>
          <w:szCs w:val="24"/>
          <w:lang w:val="it-IT"/>
        </w:rPr>
        <w:t>(Nota a cura Avv. E. Oropallo)</w:t>
      </w:r>
    </w:p>
    <w:p w:rsidR="00722E28" w:rsidRDefault="00722E28" w:rsidP="00E9393A">
      <w:pPr>
        <w:spacing w:after="0" w:line="360" w:lineRule="auto"/>
        <w:ind w:left="1134"/>
        <w:jc w:val="both"/>
        <w:rPr>
          <w:b/>
          <w:sz w:val="24"/>
          <w:szCs w:val="24"/>
          <w:lang w:val="it-IT"/>
        </w:rPr>
      </w:pPr>
    </w:p>
    <w:p w:rsidR="00722E28" w:rsidRDefault="00722E28" w:rsidP="00E9393A">
      <w:pPr>
        <w:spacing w:after="0" w:line="360" w:lineRule="auto"/>
        <w:ind w:left="1134"/>
        <w:jc w:val="both"/>
        <w:rPr>
          <w:b/>
          <w:sz w:val="24"/>
          <w:szCs w:val="24"/>
          <w:lang w:val="it-IT"/>
        </w:rPr>
      </w:pPr>
    </w:p>
    <w:p w:rsidR="00722E28" w:rsidRDefault="00722E28" w:rsidP="00E9393A">
      <w:pPr>
        <w:spacing w:after="0" w:line="360" w:lineRule="auto"/>
        <w:ind w:left="1134"/>
        <w:jc w:val="both"/>
        <w:rPr>
          <w:b/>
          <w:sz w:val="24"/>
          <w:szCs w:val="24"/>
          <w:lang w:val="it-IT"/>
        </w:rPr>
      </w:pPr>
    </w:p>
    <w:p w:rsidR="00722E28" w:rsidRDefault="00722E28" w:rsidP="00E9393A">
      <w:pPr>
        <w:spacing w:after="0" w:line="360" w:lineRule="auto"/>
        <w:ind w:left="1134"/>
        <w:jc w:val="both"/>
        <w:rPr>
          <w:b/>
          <w:sz w:val="24"/>
          <w:szCs w:val="24"/>
          <w:lang w:val="it-IT"/>
        </w:rPr>
      </w:pPr>
    </w:p>
    <w:p w:rsidR="00722E28" w:rsidRDefault="00722E28" w:rsidP="00E9393A">
      <w:pPr>
        <w:spacing w:after="0" w:line="360" w:lineRule="auto"/>
        <w:ind w:left="1134"/>
        <w:jc w:val="both"/>
        <w:rPr>
          <w:b/>
          <w:sz w:val="24"/>
          <w:szCs w:val="24"/>
          <w:lang w:val="it-IT"/>
        </w:rPr>
      </w:pPr>
    </w:p>
    <w:p w:rsidR="00722E28" w:rsidRPr="00722E28" w:rsidRDefault="00722E28" w:rsidP="00722E28">
      <w:pPr>
        <w:spacing w:after="0" w:line="360" w:lineRule="auto"/>
        <w:ind w:left="703"/>
        <w:jc w:val="center"/>
        <w:rPr>
          <w:rFonts w:ascii="Calibri" w:eastAsia="Calibri" w:hAnsi="Calibri" w:cs="Times New Roman"/>
          <w:b/>
          <w:i/>
          <w:sz w:val="24"/>
          <w:szCs w:val="24"/>
          <w:lang w:val="it-IT"/>
        </w:rPr>
      </w:pPr>
      <w:r w:rsidRPr="00722E28">
        <w:rPr>
          <w:rFonts w:ascii="Calibri" w:eastAsia="Calibri" w:hAnsi="Calibri" w:cs="Times New Roman"/>
          <w:b/>
          <w:i/>
          <w:sz w:val="24"/>
          <w:szCs w:val="24"/>
          <w:lang w:val="it-IT"/>
        </w:rPr>
        <w:t>Via Matilde Serao, 20 – 47521 CESENA</w:t>
      </w:r>
    </w:p>
    <w:p w:rsidR="00722E28" w:rsidRPr="00722E28" w:rsidRDefault="00722E28" w:rsidP="00722E28">
      <w:pPr>
        <w:spacing w:after="0" w:line="360" w:lineRule="auto"/>
        <w:ind w:left="703"/>
        <w:jc w:val="center"/>
        <w:rPr>
          <w:rFonts w:ascii="Calibri" w:eastAsia="Calibri" w:hAnsi="Calibri" w:cs="Times New Roman"/>
          <w:b/>
          <w:sz w:val="24"/>
          <w:szCs w:val="24"/>
          <w:lang w:val="it-IT"/>
        </w:rPr>
      </w:pPr>
      <w:r w:rsidRPr="00722E28">
        <w:rPr>
          <w:rFonts w:ascii="Calibri" w:eastAsia="Calibri" w:hAnsi="Calibri" w:cs="Times New Roman"/>
          <w:b/>
          <w:sz w:val="24"/>
          <w:szCs w:val="24"/>
          <w:lang w:val="it-IT"/>
        </w:rPr>
        <w:t>www.centrostudigiuridicikoine.eu</w:t>
      </w:r>
      <w:bookmarkStart w:id="0" w:name="_GoBack"/>
      <w:bookmarkEnd w:id="0"/>
    </w:p>
    <w:sectPr w:rsidR="00722E28" w:rsidRPr="00722E28" w:rsidSect="00722E28">
      <w:pgSz w:w="11906" w:h="16838"/>
      <w:pgMar w:top="1417" w:right="22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3A"/>
    <w:rsid w:val="002E5304"/>
    <w:rsid w:val="00447E5D"/>
    <w:rsid w:val="004B310F"/>
    <w:rsid w:val="00722E28"/>
    <w:rsid w:val="00D4127A"/>
    <w:rsid w:val="00E9393A"/>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EF284-8C34-4A3D-B5B8-282EF2D0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31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10F"/>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6</cp:revision>
  <cp:lastPrinted>2017-08-29T09:58:00Z</cp:lastPrinted>
  <dcterms:created xsi:type="dcterms:W3CDTF">2017-08-29T09:48:00Z</dcterms:created>
  <dcterms:modified xsi:type="dcterms:W3CDTF">2017-08-30T15:08:00Z</dcterms:modified>
</cp:coreProperties>
</file>