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32A" w:rsidRDefault="00D9532A" w:rsidP="00B21DCB">
      <w:pPr>
        <w:ind w:firstLine="708"/>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7720FA3D">
            <wp:extent cx="5840730" cy="101219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0730" cy="1012190"/>
                    </a:xfrm>
                    <a:prstGeom prst="rect">
                      <a:avLst/>
                    </a:prstGeom>
                    <a:noFill/>
                  </pic:spPr>
                </pic:pic>
              </a:graphicData>
            </a:graphic>
          </wp:inline>
        </w:drawing>
      </w:r>
    </w:p>
    <w:p w:rsidR="00D9532A" w:rsidRDefault="00D9532A" w:rsidP="00B21DCB">
      <w:pPr>
        <w:ind w:firstLine="708"/>
        <w:jc w:val="center"/>
        <w:rPr>
          <w:rFonts w:ascii="Times New Roman" w:hAnsi="Times New Roman" w:cs="Times New Roman"/>
          <w:b/>
          <w:sz w:val="28"/>
          <w:szCs w:val="28"/>
        </w:rPr>
      </w:pPr>
    </w:p>
    <w:p w:rsidR="001224F2" w:rsidRPr="002B3160" w:rsidRDefault="001224F2" w:rsidP="00B21DCB">
      <w:pPr>
        <w:ind w:firstLine="708"/>
        <w:jc w:val="center"/>
        <w:rPr>
          <w:rFonts w:ascii="Times New Roman" w:hAnsi="Times New Roman" w:cs="Times New Roman"/>
          <w:b/>
          <w:sz w:val="28"/>
          <w:szCs w:val="28"/>
        </w:rPr>
      </w:pPr>
      <w:r w:rsidRPr="002B3160">
        <w:rPr>
          <w:rFonts w:ascii="Times New Roman" w:hAnsi="Times New Roman" w:cs="Times New Roman"/>
          <w:b/>
          <w:sz w:val="28"/>
          <w:szCs w:val="28"/>
        </w:rPr>
        <w:t>Processo telematico ed accesso di un avvocato di un altro paese dell’UE</w:t>
      </w:r>
    </w:p>
    <w:p w:rsidR="00B21DCB" w:rsidRDefault="00B21DCB" w:rsidP="00B21DCB">
      <w:pPr>
        <w:spacing w:after="0"/>
        <w:ind w:left="1134"/>
        <w:jc w:val="both"/>
      </w:pPr>
    </w:p>
    <w:p w:rsidR="00FB6257" w:rsidRPr="002B3160" w:rsidRDefault="009B0D82" w:rsidP="00D9532A">
      <w:pPr>
        <w:spacing w:after="0" w:line="240" w:lineRule="auto"/>
        <w:ind w:left="1134"/>
        <w:jc w:val="both"/>
        <w:rPr>
          <w:sz w:val="28"/>
          <w:szCs w:val="28"/>
        </w:rPr>
      </w:pPr>
      <w:r w:rsidRPr="002B3160">
        <w:rPr>
          <w:sz w:val="28"/>
          <w:szCs w:val="28"/>
        </w:rPr>
        <w:t>Con sentenza del 18.5.2017 (causa c. 99/16) la Corte di Giustizia EU, 3° Sez. ha ritenuto, ai sensi del c</w:t>
      </w:r>
      <w:r w:rsidR="007D6988" w:rsidRPr="002B3160">
        <w:rPr>
          <w:sz w:val="28"/>
          <w:szCs w:val="28"/>
        </w:rPr>
        <w:t>ombinato</w:t>
      </w:r>
      <w:r w:rsidRPr="002B3160">
        <w:rPr>
          <w:sz w:val="28"/>
          <w:szCs w:val="28"/>
        </w:rPr>
        <w:t xml:space="preserve"> disposto d</w:t>
      </w:r>
      <w:r w:rsidR="007D6988" w:rsidRPr="002B3160">
        <w:rPr>
          <w:sz w:val="28"/>
          <w:szCs w:val="28"/>
        </w:rPr>
        <w:t>e</w:t>
      </w:r>
      <w:r w:rsidRPr="002B3160">
        <w:rPr>
          <w:sz w:val="28"/>
          <w:szCs w:val="28"/>
        </w:rPr>
        <w:t>gli artt. 56,</w:t>
      </w:r>
      <w:r w:rsidR="00E439A5" w:rsidRPr="002B3160">
        <w:rPr>
          <w:sz w:val="28"/>
          <w:szCs w:val="28"/>
        </w:rPr>
        <w:t xml:space="preserve"> </w:t>
      </w:r>
      <w:r w:rsidRPr="002B3160">
        <w:rPr>
          <w:sz w:val="28"/>
          <w:szCs w:val="28"/>
        </w:rPr>
        <w:t xml:space="preserve">57 TFUE e </w:t>
      </w:r>
      <w:r w:rsidR="007D6988" w:rsidRPr="002B3160">
        <w:rPr>
          <w:sz w:val="28"/>
          <w:szCs w:val="28"/>
        </w:rPr>
        <w:t>del</w:t>
      </w:r>
      <w:r w:rsidRPr="002B3160">
        <w:rPr>
          <w:sz w:val="28"/>
          <w:szCs w:val="28"/>
        </w:rPr>
        <w:t xml:space="preserve">la direttiva 77/249/CEE, intesa a facilitare l’esercizio effettivo della libera prestazione di servizi da parte degli avvocati, illegittimo il rifiuto di fornire un dispositivo di accesso ad un avvocato di un altro paese dell’UE per il fatto di non essere iscritto ad alcun foro del paese che ha concesso tale dispositivo. Il caso nasce dal rifiuto opposto dall’amministrazione giudiziaria francese ad un avvocato iscritto al COA di Lussemburgo, perché non era un loro iscritto, per cui, il Tribunale di Lione, adito dall’avvocato, sollevava una pregiudiziale, nutrendo dubbi sulla compatibilità del rifiuto </w:t>
      </w:r>
      <w:r w:rsidR="007D6988" w:rsidRPr="002B3160">
        <w:rPr>
          <w:sz w:val="28"/>
          <w:szCs w:val="28"/>
        </w:rPr>
        <w:t>con il</w:t>
      </w:r>
      <w:r w:rsidRPr="002B3160">
        <w:rPr>
          <w:sz w:val="28"/>
          <w:szCs w:val="28"/>
        </w:rPr>
        <w:t xml:space="preserve"> diritto UE., chied</w:t>
      </w:r>
      <w:r w:rsidR="007D6988" w:rsidRPr="002B3160">
        <w:rPr>
          <w:sz w:val="28"/>
          <w:szCs w:val="28"/>
        </w:rPr>
        <w:t>endo</w:t>
      </w:r>
      <w:r w:rsidRPr="002B3160">
        <w:rPr>
          <w:sz w:val="28"/>
          <w:szCs w:val="28"/>
        </w:rPr>
        <w:t xml:space="preserve"> </w:t>
      </w:r>
      <w:r w:rsidR="007D6988" w:rsidRPr="002B3160">
        <w:rPr>
          <w:sz w:val="28"/>
          <w:szCs w:val="28"/>
        </w:rPr>
        <w:t>comunque</w:t>
      </w:r>
      <w:r w:rsidRPr="002B3160">
        <w:rPr>
          <w:sz w:val="28"/>
          <w:szCs w:val="28"/>
        </w:rPr>
        <w:t xml:space="preserve"> alla CGUE di valutare se esso potesse ritenersi una misura discriminatoria in grado di ostacolare </w:t>
      </w:r>
      <w:r w:rsidR="002222F9" w:rsidRPr="002B3160">
        <w:rPr>
          <w:sz w:val="28"/>
          <w:szCs w:val="28"/>
        </w:rPr>
        <w:t xml:space="preserve">l’esercizio della professione all’avvocato </w:t>
      </w:r>
      <w:r w:rsidR="007D6988" w:rsidRPr="002B3160">
        <w:rPr>
          <w:sz w:val="28"/>
          <w:szCs w:val="28"/>
        </w:rPr>
        <w:t>appartenente</w:t>
      </w:r>
      <w:r w:rsidR="002222F9" w:rsidRPr="002B3160">
        <w:rPr>
          <w:sz w:val="28"/>
          <w:szCs w:val="28"/>
        </w:rPr>
        <w:t xml:space="preserve"> ad altro foro sempre però nell’ambito dell’</w:t>
      </w:r>
      <w:r w:rsidR="00FB6257" w:rsidRPr="002B3160">
        <w:rPr>
          <w:sz w:val="28"/>
          <w:szCs w:val="28"/>
        </w:rPr>
        <w:t>UE.</w:t>
      </w:r>
      <w:r w:rsidR="007D6988" w:rsidRPr="002B3160">
        <w:rPr>
          <w:sz w:val="28"/>
          <w:szCs w:val="28"/>
        </w:rPr>
        <w:t xml:space="preserve"> </w:t>
      </w:r>
      <w:r w:rsidR="00FB6257" w:rsidRPr="002B3160">
        <w:rPr>
          <w:sz w:val="28"/>
          <w:szCs w:val="28"/>
        </w:rPr>
        <w:t xml:space="preserve">La </w:t>
      </w:r>
      <w:proofErr w:type="spellStart"/>
      <w:r w:rsidR="00FB6257" w:rsidRPr="002B3160">
        <w:rPr>
          <w:sz w:val="28"/>
          <w:szCs w:val="28"/>
        </w:rPr>
        <w:t>Cd</w:t>
      </w:r>
      <w:r w:rsidR="007D6988" w:rsidRPr="002B3160">
        <w:rPr>
          <w:sz w:val="28"/>
          <w:szCs w:val="28"/>
        </w:rPr>
        <w:t>G</w:t>
      </w:r>
      <w:proofErr w:type="spellEnd"/>
      <w:r w:rsidR="00FB6257" w:rsidRPr="002B3160">
        <w:rPr>
          <w:sz w:val="28"/>
          <w:szCs w:val="28"/>
        </w:rPr>
        <w:t xml:space="preserve">, richiamando la normativa sopra accennata, ha riaffermato </w:t>
      </w:r>
      <w:r w:rsidR="007D6988" w:rsidRPr="002B3160">
        <w:rPr>
          <w:sz w:val="28"/>
          <w:szCs w:val="28"/>
        </w:rPr>
        <w:t>il diritto</w:t>
      </w:r>
      <w:r w:rsidR="00FB6257" w:rsidRPr="002B3160">
        <w:rPr>
          <w:sz w:val="28"/>
          <w:szCs w:val="28"/>
        </w:rPr>
        <w:t xml:space="preserve"> per un prestatore di servizio di uno Stato UE di esercitare la sua attività in un altro Stato membro </w:t>
      </w:r>
      <w:r w:rsidR="00D16231" w:rsidRPr="002B3160">
        <w:rPr>
          <w:sz w:val="28"/>
          <w:szCs w:val="28"/>
        </w:rPr>
        <w:t>nelle stesse condizioni che la legge di quel paese prevede per i suoi cittadini. Se, dunque, nel sistema di accesso alla</w:t>
      </w:r>
      <w:r w:rsidR="007D6988" w:rsidRPr="002B3160">
        <w:rPr>
          <w:sz w:val="28"/>
          <w:szCs w:val="28"/>
        </w:rPr>
        <w:t xml:space="preserve"> rete interna, l’avvocato francese vi può accedere</w:t>
      </w:r>
      <w:r w:rsidR="00D16231" w:rsidRPr="002B3160">
        <w:rPr>
          <w:sz w:val="28"/>
          <w:szCs w:val="28"/>
        </w:rPr>
        <w:t xml:space="preserve"> </w:t>
      </w:r>
      <w:r w:rsidR="007D6988" w:rsidRPr="002B3160">
        <w:rPr>
          <w:sz w:val="28"/>
          <w:szCs w:val="28"/>
        </w:rPr>
        <w:t xml:space="preserve">con </w:t>
      </w:r>
      <w:r w:rsidR="00D16231" w:rsidRPr="002B3160">
        <w:rPr>
          <w:sz w:val="28"/>
          <w:szCs w:val="28"/>
        </w:rPr>
        <w:t xml:space="preserve">un certificato elettronico </w:t>
      </w:r>
      <w:r w:rsidR="007D6988" w:rsidRPr="002B3160">
        <w:rPr>
          <w:sz w:val="28"/>
          <w:szCs w:val="28"/>
        </w:rPr>
        <w:t xml:space="preserve">a lui </w:t>
      </w:r>
      <w:r w:rsidR="00D16231" w:rsidRPr="002B3160">
        <w:rPr>
          <w:sz w:val="28"/>
          <w:szCs w:val="28"/>
        </w:rPr>
        <w:t xml:space="preserve">rilasciato, sarà necessario modificare il sistema per consentire l’accesso anche agli </w:t>
      </w:r>
      <w:r w:rsidR="007D6988" w:rsidRPr="002B3160">
        <w:rPr>
          <w:sz w:val="28"/>
          <w:szCs w:val="28"/>
        </w:rPr>
        <w:t xml:space="preserve">avvocati </w:t>
      </w:r>
      <w:r w:rsidR="00D16231" w:rsidRPr="002B3160">
        <w:rPr>
          <w:sz w:val="28"/>
          <w:szCs w:val="28"/>
        </w:rPr>
        <w:t xml:space="preserve">iscritti negli altri Stati UE, come agli avvocati stabiliti. La </w:t>
      </w:r>
      <w:r w:rsidR="00761558" w:rsidRPr="002B3160">
        <w:rPr>
          <w:sz w:val="28"/>
          <w:szCs w:val="28"/>
        </w:rPr>
        <w:t>restri</w:t>
      </w:r>
      <w:r w:rsidR="00D16231" w:rsidRPr="002B3160">
        <w:rPr>
          <w:sz w:val="28"/>
          <w:szCs w:val="28"/>
        </w:rPr>
        <w:t xml:space="preserve">zione dunque </w:t>
      </w:r>
      <w:r w:rsidR="007D6988" w:rsidRPr="002B3160">
        <w:rPr>
          <w:sz w:val="28"/>
          <w:szCs w:val="28"/>
        </w:rPr>
        <w:t xml:space="preserve">viola </w:t>
      </w:r>
      <w:r w:rsidR="00D16231" w:rsidRPr="002B3160">
        <w:rPr>
          <w:sz w:val="28"/>
          <w:szCs w:val="28"/>
        </w:rPr>
        <w:t>il principio di equivalenza regolato dagli artt. 56 e 57 TFUE.</w:t>
      </w:r>
    </w:p>
    <w:p w:rsidR="00D16231" w:rsidRPr="002B3160" w:rsidRDefault="00D16231" w:rsidP="00D9532A">
      <w:pPr>
        <w:spacing w:after="0" w:line="240" w:lineRule="auto"/>
        <w:ind w:left="1134"/>
        <w:jc w:val="both"/>
        <w:rPr>
          <w:b/>
          <w:sz w:val="28"/>
          <w:szCs w:val="28"/>
        </w:rPr>
      </w:pPr>
      <w:r w:rsidRPr="002B3160">
        <w:rPr>
          <w:b/>
          <w:sz w:val="28"/>
          <w:szCs w:val="28"/>
        </w:rPr>
        <w:t>Fonte D &amp; G 19.5.2017</w:t>
      </w:r>
    </w:p>
    <w:p w:rsidR="001224F2" w:rsidRDefault="00D16231" w:rsidP="00D9532A">
      <w:pPr>
        <w:spacing w:after="0" w:line="240" w:lineRule="auto"/>
        <w:ind w:left="1134"/>
        <w:jc w:val="both"/>
        <w:rPr>
          <w:b/>
          <w:sz w:val="28"/>
          <w:szCs w:val="28"/>
        </w:rPr>
      </w:pPr>
      <w:r w:rsidRPr="002B3160">
        <w:rPr>
          <w:b/>
          <w:sz w:val="28"/>
          <w:szCs w:val="28"/>
        </w:rPr>
        <w:t>Nota a cura avv. Oropallo</w:t>
      </w:r>
      <w:r w:rsidR="00761558" w:rsidRPr="002B3160">
        <w:rPr>
          <w:b/>
          <w:sz w:val="28"/>
          <w:szCs w:val="28"/>
        </w:rPr>
        <w:t xml:space="preserve">          </w:t>
      </w:r>
    </w:p>
    <w:p w:rsidR="00D9532A" w:rsidRDefault="00D9532A" w:rsidP="00D9532A">
      <w:pPr>
        <w:spacing w:after="0" w:line="240" w:lineRule="auto"/>
        <w:ind w:left="1134"/>
        <w:jc w:val="both"/>
        <w:rPr>
          <w:b/>
          <w:sz w:val="28"/>
          <w:szCs w:val="28"/>
        </w:rPr>
      </w:pPr>
    </w:p>
    <w:p w:rsidR="00D9532A" w:rsidRDefault="00D9532A" w:rsidP="00D9532A">
      <w:pPr>
        <w:spacing w:after="0" w:line="240" w:lineRule="auto"/>
        <w:ind w:left="1134"/>
        <w:jc w:val="both"/>
        <w:rPr>
          <w:b/>
          <w:sz w:val="28"/>
          <w:szCs w:val="28"/>
        </w:rPr>
      </w:pPr>
    </w:p>
    <w:p w:rsidR="00D9532A" w:rsidRDefault="00D9532A" w:rsidP="00D9532A">
      <w:pPr>
        <w:spacing w:after="0" w:line="240" w:lineRule="auto"/>
        <w:ind w:left="1134"/>
        <w:jc w:val="both"/>
        <w:rPr>
          <w:b/>
          <w:sz w:val="28"/>
          <w:szCs w:val="28"/>
        </w:rPr>
      </w:pPr>
    </w:p>
    <w:p w:rsidR="00D9532A" w:rsidRDefault="00D9532A" w:rsidP="00D9532A">
      <w:pPr>
        <w:spacing w:after="0" w:line="240" w:lineRule="auto"/>
        <w:ind w:left="1134"/>
        <w:jc w:val="both"/>
        <w:rPr>
          <w:b/>
          <w:sz w:val="28"/>
          <w:szCs w:val="28"/>
        </w:rPr>
      </w:pPr>
    </w:p>
    <w:p w:rsidR="00D9532A" w:rsidRDefault="00D9532A" w:rsidP="00D9532A">
      <w:pPr>
        <w:spacing w:after="0" w:line="240" w:lineRule="auto"/>
        <w:ind w:left="1134"/>
        <w:jc w:val="both"/>
        <w:rPr>
          <w:b/>
          <w:sz w:val="28"/>
          <w:szCs w:val="28"/>
        </w:rPr>
      </w:pPr>
    </w:p>
    <w:p w:rsidR="00D9532A" w:rsidRDefault="00D9532A" w:rsidP="00D9532A">
      <w:pPr>
        <w:spacing w:after="0" w:line="240" w:lineRule="auto"/>
        <w:ind w:left="1134"/>
        <w:jc w:val="both"/>
        <w:rPr>
          <w:b/>
          <w:sz w:val="28"/>
          <w:szCs w:val="28"/>
        </w:rPr>
      </w:pPr>
    </w:p>
    <w:p w:rsidR="00D9532A" w:rsidRPr="00D9532A" w:rsidRDefault="00D9532A" w:rsidP="00D9532A">
      <w:pPr>
        <w:spacing w:after="0" w:line="240" w:lineRule="auto"/>
        <w:ind w:left="1134"/>
        <w:jc w:val="center"/>
        <w:rPr>
          <w:b/>
          <w:i/>
          <w:sz w:val="28"/>
          <w:szCs w:val="28"/>
        </w:rPr>
      </w:pPr>
      <w:r w:rsidRPr="00D9532A">
        <w:rPr>
          <w:b/>
          <w:i/>
          <w:sz w:val="28"/>
          <w:szCs w:val="28"/>
        </w:rPr>
        <w:t>Via Matilde Serao, 20 – 47521 CESENA</w:t>
      </w:r>
    </w:p>
    <w:p w:rsidR="00D9532A" w:rsidRPr="002B3160" w:rsidRDefault="00D9532A" w:rsidP="00D9532A">
      <w:pPr>
        <w:spacing w:after="0" w:line="240" w:lineRule="auto"/>
        <w:ind w:left="1134"/>
        <w:jc w:val="center"/>
        <w:rPr>
          <w:b/>
          <w:sz w:val="28"/>
          <w:szCs w:val="28"/>
        </w:rPr>
      </w:pPr>
      <w:r w:rsidRPr="00D9532A">
        <w:rPr>
          <w:b/>
          <w:sz w:val="28"/>
          <w:szCs w:val="28"/>
        </w:rPr>
        <w:t>www.centrostudigiuridicikoine.eu</w:t>
      </w:r>
      <w:bookmarkStart w:id="0" w:name="_GoBack"/>
      <w:bookmarkEnd w:id="0"/>
    </w:p>
    <w:sectPr w:rsidR="00D9532A" w:rsidRPr="002B3160" w:rsidSect="00D9532A">
      <w:pgSz w:w="11906" w:h="16838"/>
      <w:pgMar w:top="1417" w:right="141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F2"/>
    <w:rsid w:val="001224F2"/>
    <w:rsid w:val="002222F9"/>
    <w:rsid w:val="002B3160"/>
    <w:rsid w:val="00761558"/>
    <w:rsid w:val="00776186"/>
    <w:rsid w:val="007D6988"/>
    <w:rsid w:val="009B0D82"/>
    <w:rsid w:val="00B21DCB"/>
    <w:rsid w:val="00B31310"/>
    <w:rsid w:val="00D16231"/>
    <w:rsid w:val="00D9532A"/>
    <w:rsid w:val="00E439A5"/>
    <w:rsid w:val="00EC6FB8"/>
    <w:rsid w:val="00F927A0"/>
    <w:rsid w:val="00FB6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44A55-FA50-450A-AD88-C2371208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1D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1DCB"/>
    <w:rPr>
      <w:rFonts w:ascii="Segoe UI" w:hAnsi="Segoe UI" w:cs="Segoe UI"/>
      <w:sz w:val="18"/>
      <w:szCs w:val="18"/>
    </w:rPr>
  </w:style>
  <w:style w:type="character" w:styleId="Collegamentoipertestuale">
    <w:name w:val="Hyperlink"/>
    <w:basedOn w:val="Carpredefinitoparagrafo"/>
    <w:uiPriority w:val="99"/>
    <w:unhideWhenUsed/>
    <w:rsid w:val="00D95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cp:lastPrinted>2017-05-29T16:48:00Z</cp:lastPrinted>
  <dcterms:created xsi:type="dcterms:W3CDTF">2017-05-29T16:47:00Z</dcterms:created>
  <dcterms:modified xsi:type="dcterms:W3CDTF">2017-05-30T15:40:00Z</dcterms:modified>
</cp:coreProperties>
</file>