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8AE" w:rsidRDefault="008228AE" w:rsidP="006D29DC">
      <w:pPr>
        <w:spacing w:after="0" w:line="360" w:lineRule="auto"/>
        <w:jc w:val="center"/>
        <w:rPr>
          <w:b/>
          <w:sz w:val="24"/>
          <w:szCs w:val="24"/>
        </w:rPr>
      </w:pPr>
      <w:r>
        <w:rPr>
          <w:b/>
          <w:noProof/>
          <w:sz w:val="24"/>
          <w:szCs w:val="24"/>
          <w:lang w:eastAsia="it-IT"/>
        </w:rPr>
        <w:drawing>
          <wp:inline distT="0" distB="0" distL="0" distR="0" wp14:anchorId="4703B224">
            <wp:extent cx="5838825" cy="101219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8825" cy="1012190"/>
                    </a:xfrm>
                    <a:prstGeom prst="rect">
                      <a:avLst/>
                    </a:prstGeom>
                    <a:noFill/>
                  </pic:spPr>
                </pic:pic>
              </a:graphicData>
            </a:graphic>
          </wp:inline>
        </w:drawing>
      </w:r>
    </w:p>
    <w:p w:rsidR="008228AE" w:rsidRDefault="008228AE" w:rsidP="006D29DC">
      <w:pPr>
        <w:spacing w:after="0" w:line="360" w:lineRule="auto"/>
        <w:jc w:val="center"/>
        <w:rPr>
          <w:b/>
          <w:sz w:val="24"/>
          <w:szCs w:val="24"/>
        </w:rPr>
      </w:pPr>
    </w:p>
    <w:p w:rsidR="008228AE" w:rsidRDefault="008228AE" w:rsidP="006D29DC">
      <w:pPr>
        <w:spacing w:after="0" w:line="360" w:lineRule="auto"/>
        <w:jc w:val="center"/>
        <w:rPr>
          <w:b/>
          <w:sz w:val="24"/>
          <w:szCs w:val="24"/>
        </w:rPr>
      </w:pPr>
    </w:p>
    <w:p w:rsidR="006D29DC" w:rsidRPr="008228AE" w:rsidRDefault="006D29DC" w:rsidP="006D29DC">
      <w:pPr>
        <w:spacing w:after="0" w:line="360" w:lineRule="auto"/>
        <w:jc w:val="center"/>
        <w:rPr>
          <w:b/>
          <w:sz w:val="28"/>
          <w:szCs w:val="28"/>
        </w:rPr>
      </w:pPr>
      <w:r w:rsidRPr="008228AE">
        <w:rPr>
          <w:b/>
          <w:sz w:val="28"/>
          <w:szCs w:val="28"/>
        </w:rPr>
        <w:t>L’INTERVENTO DEL PM ALL’UDIENZA PREFALLIMENTARE</w:t>
      </w:r>
    </w:p>
    <w:p w:rsidR="006D29DC" w:rsidRPr="008228AE" w:rsidRDefault="006D29DC" w:rsidP="006D29DC">
      <w:pPr>
        <w:spacing w:after="0" w:line="360" w:lineRule="auto"/>
        <w:jc w:val="center"/>
        <w:rPr>
          <w:b/>
          <w:sz w:val="28"/>
          <w:szCs w:val="28"/>
        </w:rPr>
      </w:pPr>
    </w:p>
    <w:p w:rsidR="006D29DC" w:rsidRPr="008228AE" w:rsidRDefault="006D29DC" w:rsidP="006D29DC">
      <w:pPr>
        <w:spacing w:after="0" w:line="360" w:lineRule="auto"/>
        <w:ind w:left="1134"/>
        <w:jc w:val="both"/>
        <w:rPr>
          <w:sz w:val="28"/>
          <w:szCs w:val="28"/>
        </w:rPr>
      </w:pPr>
      <w:r w:rsidRPr="008228AE">
        <w:rPr>
          <w:sz w:val="28"/>
          <w:szCs w:val="28"/>
        </w:rPr>
        <w:t>Con sentenza n. 12537/17 depositata il 18 maggio la Corte di Cassazione Sez. I civile ha ritenuto non obbligatorio l’intervento del PM nella udienza prefallimentare precisando che, nel procedimento della dichiarazione di fallimento, quando l’iniziativa sia stata presa dal PM, perché il Giudice possa pronunciarsi sulla richiesta è sufficiente che il ricorso sia stato ritualmente notificato all’imprenditore, ritenendo irrilevante la mancata partecipazione della parte pubblica all’udienza prefallimentare, non potendosi trarre da tale condotta alcuna volontà, anche solo implicita, di rinunziare o desistere all’istanza presentata.</w:t>
      </w:r>
    </w:p>
    <w:p w:rsidR="006D29DC" w:rsidRPr="008228AE" w:rsidRDefault="006D29DC" w:rsidP="006D29DC">
      <w:pPr>
        <w:spacing w:after="0" w:line="360" w:lineRule="auto"/>
        <w:ind w:left="1134"/>
        <w:jc w:val="both"/>
        <w:rPr>
          <w:b/>
          <w:sz w:val="28"/>
          <w:szCs w:val="28"/>
        </w:rPr>
      </w:pPr>
      <w:r w:rsidRPr="008228AE">
        <w:rPr>
          <w:b/>
          <w:sz w:val="28"/>
          <w:szCs w:val="28"/>
        </w:rPr>
        <w:t>Fonte D &amp; G 19.5.2017</w:t>
      </w:r>
    </w:p>
    <w:p w:rsidR="006D29DC" w:rsidRPr="008228AE" w:rsidRDefault="006D29DC" w:rsidP="006D29DC">
      <w:pPr>
        <w:spacing w:after="0" w:line="360" w:lineRule="auto"/>
        <w:ind w:left="1134"/>
        <w:jc w:val="both"/>
        <w:rPr>
          <w:b/>
          <w:sz w:val="28"/>
          <w:szCs w:val="28"/>
        </w:rPr>
      </w:pPr>
      <w:r w:rsidRPr="008228AE">
        <w:rPr>
          <w:b/>
          <w:sz w:val="28"/>
          <w:szCs w:val="28"/>
        </w:rPr>
        <w:t>Maggio 2017</w:t>
      </w:r>
    </w:p>
    <w:p w:rsidR="006D29DC" w:rsidRPr="008228AE" w:rsidRDefault="006D29DC" w:rsidP="006D29DC">
      <w:pPr>
        <w:spacing w:after="0" w:line="360" w:lineRule="auto"/>
        <w:ind w:left="1134"/>
        <w:jc w:val="both"/>
        <w:rPr>
          <w:b/>
          <w:sz w:val="28"/>
          <w:szCs w:val="28"/>
        </w:rPr>
      </w:pPr>
      <w:r w:rsidRPr="008228AE">
        <w:rPr>
          <w:b/>
          <w:sz w:val="28"/>
          <w:szCs w:val="28"/>
        </w:rPr>
        <w:t>Nota a cura Avv. Oropallo</w:t>
      </w:r>
    </w:p>
    <w:p w:rsidR="006D29DC" w:rsidRPr="006D29DC" w:rsidRDefault="006D29DC" w:rsidP="006D29DC">
      <w:pPr>
        <w:spacing w:after="0" w:line="360" w:lineRule="auto"/>
        <w:ind w:left="1134"/>
        <w:rPr>
          <w:sz w:val="24"/>
          <w:szCs w:val="24"/>
        </w:rPr>
      </w:pPr>
    </w:p>
    <w:p w:rsidR="00EC6FB8" w:rsidRDefault="00EC6FB8"/>
    <w:p w:rsidR="008228AE" w:rsidRDefault="008228AE">
      <w:bookmarkStart w:id="0" w:name="_GoBack"/>
      <w:bookmarkEnd w:id="0"/>
    </w:p>
    <w:p w:rsidR="008228AE" w:rsidRDefault="008228AE"/>
    <w:p w:rsidR="008228AE" w:rsidRDefault="008228AE"/>
    <w:p w:rsidR="008228AE" w:rsidRPr="008228AE" w:rsidRDefault="008228AE" w:rsidP="008228AE">
      <w:pPr>
        <w:jc w:val="center"/>
        <w:rPr>
          <w:b/>
          <w:i/>
          <w:sz w:val="24"/>
          <w:szCs w:val="24"/>
        </w:rPr>
      </w:pPr>
      <w:r w:rsidRPr="008228AE">
        <w:rPr>
          <w:b/>
          <w:i/>
          <w:sz w:val="24"/>
          <w:szCs w:val="24"/>
        </w:rPr>
        <w:t>Via Matilde Serao, 20 – 47521 CESENA</w:t>
      </w:r>
    </w:p>
    <w:p w:rsidR="008228AE" w:rsidRPr="008228AE" w:rsidRDefault="008228AE" w:rsidP="008228AE">
      <w:pPr>
        <w:jc w:val="center"/>
        <w:rPr>
          <w:sz w:val="24"/>
          <w:szCs w:val="24"/>
        </w:rPr>
      </w:pPr>
      <w:hyperlink r:id="rId5" w:history="1">
        <w:r w:rsidRPr="008228AE">
          <w:rPr>
            <w:rStyle w:val="Collegamentoipertestuale"/>
            <w:b/>
            <w:sz w:val="24"/>
            <w:szCs w:val="24"/>
          </w:rPr>
          <w:t>www.centrostudigiuridicikoine.eu</w:t>
        </w:r>
      </w:hyperlink>
    </w:p>
    <w:p w:rsidR="008228AE" w:rsidRDefault="008228AE"/>
    <w:sectPr w:rsidR="008228AE" w:rsidSect="008228AE">
      <w:pgSz w:w="11906" w:h="16838"/>
      <w:pgMar w:top="1417" w:right="2267"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DC"/>
    <w:rsid w:val="006D29DC"/>
    <w:rsid w:val="008228AE"/>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575B4-8495-4A3D-A668-95B7D032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D29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29DC"/>
    <w:rPr>
      <w:rFonts w:ascii="Segoe UI" w:hAnsi="Segoe UI" w:cs="Segoe UI"/>
      <w:sz w:val="18"/>
      <w:szCs w:val="18"/>
    </w:rPr>
  </w:style>
  <w:style w:type="character" w:styleId="Collegamentoipertestuale">
    <w:name w:val="Hyperlink"/>
    <w:basedOn w:val="Carpredefinitoparagrafo"/>
    <w:uiPriority w:val="99"/>
    <w:unhideWhenUsed/>
    <w:rsid w:val="00822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131</Words>
  <Characters>749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cp:revision>
  <cp:lastPrinted>2017-05-29T16:43:00Z</cp:lastPrinted>
  <dcterms:created xsi:type="dcterms:W3CDTF">2017-05-29T16:42:00Z</dcterms:created>
  <dcterms:modified xsi:type="dcterms:W3CDTF">2017-05-30T08:03:00Z</dcterms:modified>
</cp:coreProperties>
</file>