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7802" w:rsidRDefault="00FA7802" w:rsidP="00DF55D4">
      <w:pPr>
        <w:jc w:val="center"/>
        <w:rPr>
          <w:b/>
          <w:sz w:val="28"/>
          <w:szCs w:val="28"/>
        </w:rPr>
      </w:pPr>
      <w:r w:rsidRPr="003327B3">
        <w:rPr>
          <w:b/>
          <w:noProof/>
          <w:sz w:val="24"/>
          <w:szCs w:val="24"/>
          <w:lang w:eastAsia="it-IT"/>
        </w:rPr>
        <w:drawing>
          <wp:inline distT="0" distB="0" distL="0" distR="0" wp14:anchorId="2B260E0E">
            <wp:extent cx="4800600" cy="869950"/>
            <wp:effectExtent l="0" t="0" r="0" b="635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0" cy="869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A7802" w:rsidRDefault="00FA7802" w:rsidP="00DF55D4">
      <w:pPr>
        <w:jc w:val="center"/>
        <w:rPr>
          <w:b/>
          <w:sz w:val="28"/>
          <w:szCs w:val="28"/>
        </w:rPr>
      </w:pPr>
    </w:p>
    <w:p w:rsidR="00EC6FB8" w:rsidRPr="003327B3" w:rsidRDefault="00DF55D4" w:rsidP="00DF55D4">
      <w:pPr>
        <w:jc w:val="center"/>
        <w:rPr>
          <w:b/>
          <w:sz w:val="28"/>
          <w:szCs w:val="28"/>
        </w:rPr>
      </w:pPr>
      <w:r w:rsidRPr="003327B3">
        <w:rPr>
          <w:b/>
          <w:sz w:val="28"/>
          <w:szCs w:val="28"/>
        </w:rPr>
        <w:t>AZIONE REVOCATORIA e GIURISDIZIONE del GIUDICE ITALIANO</w:t>
      </w:r>
    </w:p>
    <w:p w:rsidR="00DF55D4" w:rsidRPr="003327B3" w:rsidRDefault="00DF55D4" w:rsidP="00DF55D4">
      <w:pPr>
        <w:rPr>
          <w:sz w:val="28"/>
          <w:szCs w:val="28"/>
        </w:rPr>
      </w:pPr>
      <w:r w:rsidRPr="003327B3">
        <w:rPr>
          <w:b/>
          <w:sz w:val="28"/>
          <w:szCs w:val="28"/>
        </w:rPr>
        <w:tab/>
      </w:r>
    </w:p>
    <w:p w:rsidR="00DF55D4" w:rsidRPr="003327B3" w:rsidRDefault="00DF55D4" w:rsidP="00C313F1">
      <w:pPr>
        <w:spacing w:line="360" w:lineRule="auto"/>
        <w:ind w:left="567"/>
        <w:jc w:val="both"/>
        <w:rPr>
          <w:sz w:val="28"/>
          <w:szCs w:val="28"/>
        </w:rPr>
      </w:pPr>
      <w:r w:rsidRPr="003327B3">
        <w:rPr>
          <w:sz w:val="28"/>
          <w:szCs w:val="28"/>
        </w:rPr>
        <w:t xml:space="preserve">Con ordinanza </w:t>
      </w:r>
      <w:r w:rsidR="00C313F1" w:rsidRPr="003327B3">
        <w:rPr>
          <w:sz w:val="28"/>
          <w:szCs w:val="28"/>
        </w:rPr>
        <w:t xml:space="preserve">n. 10233/17 depositata il 26.4 la Corte di Cassazione, </w:t>
      </w:r>
      <w:proofErr w:type="spellStart"/>
      <w:r w:rsidR="00C313F1" w:rsidRPr="003327B3">
        <w:rPr>
          <w:sz w:val="28"/>
          <w:szCs w:val="28"/>
        </w:rPr>
        <w:t>Sezione</w:t>
      </w:r>
      <w:proofErr w:type="spellEnd"/>
      <w:r w:rsidR="00C313F1" w:rsidRPr="003327B3">
        <w:rPr>
          <w:sz w:val="28"/>
          <w:szCs w:val="28"/>
        </w:rPr>
        <w:t xml:space="preserve"> Unite Civile, ha stabilito che</w:t>
      </w:r>
      <w:r w:rsidR="002E1F4E" w:rsidRPr="003327B3">
        <w:rPr>
          <w:sz w:val="28"/>
          <w:szCs w:val="28"/>
        </w:rPr>
        <w:t>,</w:t>
      </w:r>
      <w:r w:rsidR="00C313F1" w:rsidRPr="003327B3">
        <w:rPr>
          <w:sz w:val="28"/>
          <w:szCs w:val="28"/>
        </w:rPr>
        <w:t xml:space="preserve"> in caso di azione revocatoria proposta dal curatore strettamente connessa alla procedura di insolvenza</w:t>
      </w:r>
      <w:r w:rsidR="00FA7D58" w:rsidRPr="003327B3">
        <w:rPr>
          <w:sz w:val="28"/>
          <w:szCs w:val="28"/>
        </w:rPr>
        <w:t>,</w:t>
      </w:r>
      <w:r w:rsidR="00C313F1" w:rsidRPr="003327B3">
        <w:rPr>
          <w:sz w:val="28"/>
          <w:szCs w:val="28"/>
        </w:rPr>
        <w:t xml:space="preserve"> va affermata la giurisdizione del giudice italiano in linea con la giurisprudenza della Corte di Giustizia dell’Unione Europea. La Cassazione ha respinto anche la richiesta di un rinvio pregiudiziale d’interpretazione alla </w:t>
      </w:r>
      <w:proofErr w:type="spellStart"/>
      <w:r w:rsidR="00C313F1" w:rsidRPr="003327B3">
        <w:rPr>
          <w:sz w:val="28"/>
          <w:szCs w:val="28"/>
        </w:rPr>
        <w:t>CdG</w:t>
      </w:r>
      <w:proofErr w:type="spellEnd"/>
      <w:r w:rsidR="00C313F1" w:rsidRPr="003327B3">
        <w:rPr>
          <w:sz w:val="28"/>
          <w:szCs w:val="28"/>
        </w:rPr>
        <w:t xml:space="preserve"> alla luce delle precedenti pronun</w:t>
      </w:r>
      <w:r w:rsidR="00C3630E" w:rsidRPr="003327B3">
        <w:rPr>
          <w:sz w:val="28"/>
          <w:szCs w:val="28"/>
        </w:rPr>
        <w:t>c</w:t>
      </w:r>
      <w:r w:rsidR="00C313F1" w:rsidRPr="003327B3">
        <w:rPr>
          <w:sz w:val="28"/>
          <w:szCs w:val="28"/>
        </w:rPr>
        <w:t>e della Corte che ha stabilito che “</w:t>
      </w:r>
      <w:r w:rsidR="00C313F1" w:rsidRPr="003327B3">
        <w:rPr>
          <w:i/>
          <w:sz w:val="28"/>
          <w:szCs w:val="28"/>
        </w:rPr>
        <w:t>i giudici di uno Stato membro nel cui territorio è</w:t>
      </w:r>
      <w:r w:rsidR="00C3630E" w:rsidRPr="003327B3">
        <w:rPr>
          <w:i/>
          <w:sz w:val="28"/>
          <w:szCs w:val="28"/>
        </w:rPr>
        <w:t xml:space="preserve"> stata avviata una procedura d’</w:t>
      </w:r>
      <w:r w:rsidR="00C313F1" w:rsidRPr="003327B3">
        <w:rPr>
          <w:i/>
          <w:sz w:val="28"/>
          <w:szCs w:val="28"/>
        </w:rPr>
        <w:t>insolvenza</w:t>
      </w:r>
      <w:r w:rsidR="00C313F1" w:rsidRPr="003327B3">
        <w:rPr>
          <w:sz w:val="28"/>
          <w:szCs w:val="28"/>
        </w:rPr>
        <w:t>………</w:t>
      </w:r>
      <w:r w:rsidR="00C313F1" w:rsidRPr="003327B3">
        <w:rPr>
          <w:i/>
          <w:sz w:val="28"/>
          <w:szCs w:val="28"/>
        </w:rPr>
        <w:t>hanno giurisdizione anche sui convenuti aventi sede o domicilio in un altro Stato membro qualora l’azione contro di essi proposta sia qualificabile come direttamente derivante dalla procedura d’insolvenza e ad essa strettamente connessa</w:t>
      </w:r>
      <w:r w:rsidR="00C313F1" w:rsidRPr="003327B3">
        <w:rPr>
          <w:sz w:val="28"/>
          <w:szCs w:val="28"/>
        </w:rPr>
        <w:t>”.</w:t>
      </w:r>
    </w:p>
    <w:p w:rsidR="00C313F1" w:rsidRPr="003327B3" w:rsidRDefault="00C313F1" w:rsidP="00C313F1">
      <w:pPr>
        <w:spacing w:line="360" w:lineRule="auto"/>
        <w:ind w:left="567"/>
        <w:jc w:val="both"/>
        <w:rPr>
          <w:b/>
          <w:sz w:val="28"/>
          <w:szCs w:val="28"/>
        </w:rPr>
      </w:pPr>
      <w:r w:rsidRPr="003327B3">
        <w:rPr>
          <w:b/>
          <w:sz w:val="28"/>
          <w:szCs w:val="28"/>
        </w:rPr>
        <w:t>Maggio 2017</w:t>
      </w:r>
    </w:p>
    <w:p w:rsidR="00C313F1" w:rsidRDefault="00C313F1" w:rsidP="00C313F1">
      <w:pPr>
        <w:spacing w:line="360" w:lineRule="auto"/>
        <w:ind w:left="567"/>
        <w:jc w:val="both"/>
        <w:rPr>
          <w:b/>
          <w:sz w:val="28"/>
          <w:szCs w:val="28"/>
        </w:rPr>
      </w:pPr>
      <w:r w:rsidRPr="003327B3">
        <w:rPr>
          <w:b/>
          <w:sz w:val="28"/>
          <w:szCs w:val="28"/>
        </w:rPr>
        <w:t xml:space="preserve">(Nota a cura Avv. E. Oropallo) </w:t>
      </w:r>
    </w:p>
    <w:p w:rsidR="003327B3" w:rsidRDefault="003327B3" w:rsidP="00C313F1">
      <w:pPr>
        <w:spacing w:line="360" w:lineRule="auto"/>
        <w:ind w:left="567"/>
        <w:jc w:val="both"/>
        <w:rPr>
          <w:b/>
          <w:sz w:val="28"/>
          <w:szCs w:val="28"/>
        </w:rPr>
      </w:pPr>
    </w:p>
    <w:p w:rsidR="003327B3" w:rsidRDefault="003327B3" w:rsidP="00C313F1">
      <w:pPr>
        <w:spacing w:line="360" w:lineRule="auto"/>
        <w:ind w:left="567"/>
        <w:jc w:val="both"/>
        <w:rPr>
          <w:b/>
          <w:sz w:val="28"/>
          <w:szCs w:val="28"/>
        </w:rPr>
      </w:pPr>
    </w:p>
    <w:p w:rsidR="0059165E" w:rsidRPr="003327B3" w:rsidRDefault="0059165E" w:rsidP="00C313F1">
      <w:pPr>
        <w:spacing w:line="360" w:lineRule="auto"/>
        <w:ind w:left="567"/>
        <w:jc w:val="both"/>
        <w:rPr>
          <w:b/>
          <w:sz w:val="28"/>
          <w:szCs w:val="28"/>
        </w:rPr>
      </w:pPr>
      <w:bookmarkStart w:id="0" w:name="_GoBack"/>
      <w:bookmarkEnd w:id="0"/>
    </w:p>
    <w:p w:rsidR="00FA7802" w:rsidRDefault="00FA7802" w:rsidP="00C313F1">
      <w:pPr>
        <w:spacing w:line="360" w:lineRule="auto"/>
        <w:ind w:left="567"/>
        <w:jc w:val="both"/>
        <w:rPr>
          <w:b/>
          <w:sz w:val="28"/>
          <w:szCs w:val="28"/>
        </w:rPr>
      </w:pPr>
    </w:p>
    <w:p w:rsidR="00FA7802" w:rsidRPr="00FA7802" w:rsidRDefault="003327B3" w:rsidP="00FA7802">
      <w:pPr>
        <w:spacing w:line="240" w:lineRule="auto"/>
        <w:ind w:left="567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V</w:t>
      </w:r>
      <w:r w:rsidR="00FA7802" w:rsidRPr="00FA7802">
        <w:rPr>
          <w:b/>
          <w:i/>
          <w:sz w:val="28"/>
          <w:szCs w:val="28"/>
        </w:rPr>
        <w:t>ia Matilde Serao, 20 – 47521 CESENA</w:t>
      </w:r>
    </w:p>
    <w:p w:rsidR="00FA7802" w:rsidRPr="00C313F1" w:rsidRDefault="0059165E" w:rsidP="00FA7802">
      <w:pPr>
        <w:spacing w:line="240" w:lineRule="auto"/>
        <w:ind w:left="567"/>
        <w:jc w:val="center"/>
        <w:rPr>
          <w:b/>
          <w:sz w:val="28"/>
          <w:szCs w:val="28"/>
        </w:rPr>
      </w:pPr>
      <w:hyperlink r:id="rId5" w:history="1">
        <w:r w:rsidR="00FA7802" w:rsidRPr="00FA7802">
          <w:rPr>
            <w:rStyle w:val="Collegamentoipertestuale"/>
            <w:b/>
            <w:sz w:val="28"/>
            <w:szCs w:val="28"/>
          </w:rPr>
          <w:t>www.centrostudigiuridicikoine.eu</w:t>
        </w:r>
      </w:hyperlink>
    </w:p>
    <w:sectPr w:rsidR="00FA7802" w:rsidRPr="00C313F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5D4"/>
    <w:rsid w:val="002E1F4E"/>
    <w:rsid w:val="003327B3"/>
    <w:rsid w:val="0059165E"/>
    <w:rsid w:val="00C313F1"/>
    <w:rsid w:val="00C3630E"/>
    <w:rsid w:val="00DF55D4"/>
    <w:rsid w:val="00EC6FB8"/>
    <w:rsid w:val="00FA7802"/>
    <w:rsid w:val="00FA7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1575F9-067F-40AE-8E78-FF1B03E46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FA7802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A78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A78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entrostudigiuridicikoine.eu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Studio</dc:creator>
  <cp:keywords/>
  <dc:description/>
  <cp:lastModifiedBy>Studio</cp:lastModifiedBy>
  <cp:revision>7</cp:revision>
  <cp:lastPrinted>2017-05-12T10:00:00Z</cp:lastPrinted>
  <dcterms:created xsi:type="dcterms:W3CDTF">2017-05-12T08:07:00Z</dcterms:created>
  <dcterms:modified xsi:type="dcterms:W3CDTF">2017-05-24T08:58:00Z</dcterms:modified>
</cp:coreProperties>
</file>