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61" w:rsidRDefault="00837A80" w:rsidP="005837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71D485DA">
            <wp:extent cx="5718810" cy="80521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02" cy="81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7A80" w:rsidRDefault="00837A80" w:rsidP="005837B9">
      <w:pPr>
        <w:jc w:val="center"/>
        <w:rPr>
          <w:b/>
          <w:sz w:val="28"/>
          <w:szCs w:val="28"/>
        </w:rPr>
      </w:pPr>
    </w:p>
    <w:p w:rsidR="00317058" w:rsidRDefault="005837B9" w:rsidP="005837B9">
      <w:pPr>
        <w:jc w:val="center"/>
        <w:rPr>
          <w:b/>
          <w:sz w:val="28"/>
          <w:szCs w:val="28"/>
        </w:rPr>
      </w:pPr>
      <w:r w:rsidRPr="005837B9">
        <w:rPr>
          <w:b/>
          <w:sz w:val="28"/>
          <w:szCs w:val="28"/>
        </w:rPr>
        <w:t>PROVVEDIMENTI SUI MINORI CON DOPPIA CITTADINANZA</w:t>
      </w:r>
    </w:p>
    <w:p w:rsidR="005837B9" w:rsidRDefault="005837B9" w:rsidP="00E417A5">
      <w:pPr>
        <w:spacing w:after="0"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837B9">
        <w:rPr>
          <w:sz w:val="28"/>
          <w:szCs w:val="28"/>
        </w:rPr>
        <w:t xml:space="preserve">Recentemente </w:t>
      </w:r>
      <w:r w:rsidR="003D554F" w:rsidRPr="001C648C">
        <w:rPr>
          <w:sz w:val="28"/>
          <w:szCs w:val="28"/>
        </w:rPr>
        <w:t>con</w:t>
      </w:r>
      <w:r w:rsidRPr="005837B9">
        <w:rPr>
          <w:sz w:val="28"/>
          <w:szCs w:val="28"/>
        </w:rPr>
        <w:t xml:space="preserve"> sentenza n. 1310 del 19.1.2017 a Sezioni Unite la Corte di Cassazione ha stabilito che i provvedimenti in materia di minori con doppia cittadinanza non rientrano nel campo </w:t>
      </w:r>
      <w:r w:rsidR="00A177B9">
        <w:rPr>
          <w:sz w:val="28"/>
          <w:szCs w:val="28"/>
        </w:rPr>
        <w:t>d</w:t>
      </w:r>
      <w:r w:rsidRPr="005837B9">
        <w:rPr>
          <w:sz w:val="28"/>
          <w:szCs w:val="28"/>
        </w:rPr>
        <w:t>i applicazione dell’art. 4 della Convenzione dell’</w:t>
      </w:r>
      <w:proofErr w:type="spellStart"/>
      <w:r w:rsidRPr="005837B9">
        <w:rPr>
          <w:sz w:val="28"/>
          <w:szCs w:val="28"/>
        </w:rPr>
        <w:t>Aja</w:t>
      </w:r>
      <w:proofErr w:type="spellEnd"/>
      <w:r w:rsidRPr="005837B9">
        <w:rPr>
          <w:sz w:val="28"/>
          <w:szCs w:val="28"/>
        </w:rPr>
        <w:t xml:space="preserve"> che stabilisce la pre</w:t>
      </w:r>
      <w:r w:rsidR="00E417A5">
        <w:rPr>
          <w:sz w:val="28"/>
          <w:szCs w:val="28"/>
        </w:rPr>
        <w:t>val</w:t>
      </w:r>
      <w:r w:rsidRPr="005837B9">
        <w:rPr>
          <w:sz w:val="28"/>
          <w:szCs w:val="28"/>
        </w:rPr>
        <w:t xml:space="preserve">enza delle misure adottate dal Giudice dello Stato di cui il minore è cittadino su quelle adottate nel luogo di residenza abituale, dovendosi ritenere che </w:t>
      </w:r>
      <w:r w:rsidR="003D554F" w:rsidRPr="001C648C">
        <w:rPr>
          <w:sz w:val="28"/>
          <w:szCs w:val="28"/>
        </w:rPr>
        <w:t>il luogo di residenza</w:t>
      </w:r>
      <w:r w:rsidR="003D554F">
        <w:rPr>
          <w:sz w:val="28"/>
          <w:szCs w:val="28"/>
        </w:rPr>
        <w:t xml:space="preserve"> </w:t>
      </w:r>
      <w:r w:rsidR="001C648C">
        <w:rPr>
          <w:sz w:val="28"/>
          <w:szCs w:val="28"/>
        </w:rPr>
        <w:t xml:space="preserve">abituale </w:t>
      </w:r>
      <w:r w:rsidRPr="005837B9">
        <w:rPr>
          <w:sz w:val="28"/>
          <w:szCs w:val="28"/>
        </w:rPr>
        <w:t>pre</w:t>
      </w:r>
      <w:r w:rsidR="00B723FB">
        <w:rPr>
          <w:sz w:val="28"/>
          <w:szCs w:val="28"/>
        </w:rPr>
        <w:t>senti col minore il collegamento più stretto.</w:t>
      </w:r>
    </w:p>
    <w:p w:rsidR="00B723FB" w:rsidRDefault="00B723FB" w:rsidP="00E417A5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 criterio cui si ispira questa soluzione fa riferimento all’art. 42 l. n. 218/1995 che appunto richiama la Convenzione dell’</w:t>
      </w:r>
      <w:proofErr w:type="spellStart"/>
      <w:r>
        <w:rPr>
          <w:sz w:val="28"/>
          <w:szCs w:val="28"/>
        </w:rPr>
        <w:t>Aja</w:t>
      </w:r>
      <w:proofErr w:type="spellEnd"/>
      <w:r>
        <w:rPr>
          <w:sz w:val="28"/>
          <w:szCs w:val="28"/>
        </w:rPr>
        <w:t xml:space="preserve"> che all’art. 1° dispone la competenza della autorità di residenza abituale del minore sulle misure tendenti alla protezione della sua persona o dei suoi</w:t>
      </w:r>
      <w:r w:rsidR="00A177B9">
        <w:rPr>
          <w:sz w:val="28"/>
          <w:szCs w:val="28"/>
        </w:rPr>
        <w:t xml:space="preserve"> beni</w:t>
      </w:r>
      <w:r>
        <w:rPr>
          <w:sz w:val="28"/>
          <w:szCs w:val="28"/>
        </w:rPr>
        <w:t xml:space="preserve">. Considerato che la Corte di merito, con accertamento adeguatamente </w:t>
      </w:r>
      <w:r w:rsidR="001C648C" w:rsidRPr="001C648C">
        <w:rPr>
          <w:sz w:val="28"/>
          <w:szCs w:val="28"/>
        </w:rPr>
        <w:t>motivato</w:t>
      </w:r>
      <w:r>
        <w:rPr>
          <w:sz w:val="28"/>
          <w:szCs w:val="28"/>
        </w:rPr>
        <w:t xml:space="preserve">, aveva individuato in Italia la residenza abituale del minore al momento della domanda, correttamente è stata ritenuta sussistente la giurisdizione italiana. Sentenza che </w:t>
      </w:r>
      <w:r w:rsidRPr="001C648C">
        <w:rPr>
          <w:sz w:val="28"/>
          <w:szCs w:val="28"/>
        </w:rPr>
        <w:t>privilegia</w:t>
      </w:r>
      <w:r>
        <w:rPr>
          <w:sz w:val="28"/>
          <w:szCs w:val="28"/>
        </w:rPr>
        <w:t xml:space="preserve"> il criterio del luogo di residenza abituale </w:t>
      </w:r>
      <w:r w:rsidRPr="001C648C">
        <w:rPr>
          <w:sz w:val="28"/>
          <w:szCs w:val="28"/>
        </w:rPr>
        <w:t>su quello della cittadinanza che può essere considerato come un dato puramente formale che deve cedere il passo, come</w:t>
      </w:r>
      <w:r>
        <w:rPr>
          <w:sz w:val="28"/>
          <w:szCs w:val="28"/>
        </w:rPr>
        <w:t xml:space="preserve"> dispone la Convenzione dell’</w:t>
      </w:r>
      <w:proofErr w:type="spellStart"/>
      <w:r>
        <w:rPr>
          <w:sz w:val="28"/>
          <w:szCs w:val="28"/>
        </w:rPr>
        <w:t>Aja</w:t>
      </w:r>
      <w:proofErr w:type="spellEnd"/>
      <w:r>
        <w:rPr>
          <w:sz w:val="28"/>
          <w:szCs w:val="28"/>
        </w:rPr>
        <w:t xml:space="preserve"> che si occupa tra l’altro dei casi di sottrazione dei minori – come era il caso di specie –</w:t>
      </w:r>
      <w:r w:rsidR="00E417A5">
        <w:rPr>
          <w:sz w:val="28"/>
          <w:szCs w:val="28"/>
        </w:rPr>
        <w:t>,</w:t>
      </w:r>
      <w:r>
        <w:rPr>
          <w:sz w:val="28"/>
          <w:szCs w:val="28"/>
        </w:rPr>
        <w:t xml:space="preserve"> al principio della residenza abituale in quanto opportunamente il </w:t>
      </w:r>
      <w:r w:rsidRPr="001C648C">
        <w:rPr>
          <w:sz w:val="28"/>
          <w:szCs w:val="28"/>
        </w:rPr>
        <w:t>Giudice</w:t>
      </w:r>
      <w:r w:rsidR="003D554F" w:rsidRPr="001C648C">
        <w:rPr>
          <w:sz w:val="28"/>
          <w:szCs w:val="28"/>
        </w:rPr>
        <w:t>,</w:t>
      </w:r>
      <w:r>
        <w:rPr>
          <w:sz w:val="28"/>
          <w:szCs w:val="28"/>
        </w:rPr>
        <w:t xml:space="preserve"> dove </w:t>
      </w:r>
      <w:proofErr w:type="spellStart"/>
      <w:r>
        <w:rPr>
          <w:sz w:val="28"/>
          <w:szCs w:val="28"/>
        </w:rPr>
        <w:t>trovasi</w:t>
      </w:r>
      <w:proofErr w:type="spellEnd"/>
      <w:r>
        <w:rPr>
          <w:sz w:val="28"/>
          <w:szCs w:val="28"/>
        </w:rPr>
        <w:t xml:space="preserve"> abitualmente </w:t>
      </w:r>
      <w:r w:rsidRPr="001C648C">
        <w:rPr>
          <w:sz w:val="28"/>
          <w:szCs w:val="28"/>
        </w:rPr>
        <w:t>il minore</w:t>
      </w:r>
      <w:r w:rsidR="003D554F" w:rsidRPr="001C648C">
        <w:rPr>
          <w:sz w:val="28"/>
          <w:szCs w:val="28"/>
        </w:rPr>
        <w:t>,</w:t>
      </w:r>
      <w:r w:rsidRPr="001C648C">
        <w:rPr>
          <w:sz w:val="28"/>
          <w:szCs w:val="28"/>
        </w:rPr>
        <w:t xml:space="preserve"> può </w:t>
      </w:r>
      <w:r w:rsidR="001C648C">
        <w:rPr>
          <w:sz w:val="28"/>
          <w:szCs w:val="28"/>
        </w:rPr>
        <w:t>decidere in base a dati che sono acquisiti direttamente dal giudicante</w:t>
      </w:r>
      <w:r>
        <w:rPr>
          <w:sz w:val="28"/>
          <w:szCs w:val="28"/>
        </w:rPr>
        <w:t>.</w:t>
      </w:r>
    </w:p>
    <w:p w:rsidR="00BF5106" w:rsidRDefault="00BF5106" w:rsidP="00E417A5">
      <w:pPr>
        <w:spacing w:after="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Gennaio 2017 </w:t>
      </w:r>
    </w:p>
    <w:p w:rsidR="00B723FB" w:rsidRDefault="00B723FB" w:rsidP="00E417A5">
      <w:pPr>
        <w:spacing w:after="0" w:line="360" w:lineRule="auto"/>
        <w:contextualSpacing/>
        <w:jc w:val="both"/>
        <w:rPr>
          <w:b/>
          <w:sz w:val="28"/>
          <w:szCs w:val="28"/>
        </w:rPr>
      </w:pPr>
      <w:r w:rsidRPr="00A177B9">
        <w:rPr>
          <w:b/>
          <w:sz w:val="28"/>
          <w:szCs w:val="28"/>
        </w:rPr>
        <w:t>Fonte D &amp; G 20.1.2017</w:t>
      </w:r>
    </w:p>
    <w:p w:rsidR="00B723FB" w:rsidRDefault="00B723FB" w:rsidP="00E417A5">
      <w:pPr>
        <w:spacing w:after="0" w:line="360" w:lineRule="auto"/>
        <w:contextualSpacing/>
        <w:jc w:val="both"/>
        <w:rPr>
          <w:b/>
          <w:sz w:val="28"/>
          <w:szCs w:val="28"/>
        </w:rPr>
      </w:pPr>
      <w:r w:rsidRPr="00A177B9">
        <w:rPr>
          <w:b/>
          <w:sz w:val="28"/>
          <w:szCs w:val="28"/>
        </w:rPr>
        <w:t xml:space="preserve">Nota a cura avv. E. Oropallo </w:t>
      </w:r>
    </w:p>
    <w:p w:rsidR="00837A80" w:rsidRDefault="00837A80" w:rsidP="00E417A5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837A80" w:rsidRPr="00837A80" w:rsidRDefault="00837A80" w:rsidP="00837A80">
      <w:pPr>
        <w:spacing w:after="0" w:line="240" w:lineRule="auto"/>
        <w:contextualSpacing/>
        <w:jc w:val="center"/>
        <w:rPr>
          <w:b/>
          <w:i/>
        </w:rPr>
      </w:pPr>
      <w:r w:rsidRPr="00837A80">
        <w:rPr>
          <w:b/>
          <w:i/>
        </w:rPr>
        <w:t>Via Matilde Serao, 20 – 47521 CESENA</w:t>
      </w:r>
    </w:p>
    <w:p w:rsidR="00837A80" w:rsidRPr="00837A80" w:rsidRDefault="00837A80" w:rsidP="00837A80">
      <w:pPr>
        <w:spacing w:after="0" w:line="240" w:lineRule="auto"/>
        <w:contextualSpacing/>
        <w:jc w:val="center"/>
        <w:rPr>
          <w:b/>
        </w:rPr>
      </w:pPr>
      <w:hyperlink r:id="rId5" w:history="1">
        <w:r w:rsidRPr="00837A80">
          <w:rPr>
            <w:rStyle w:val="Collegamentoipertestuale"/>
            <w:b/>
          </w:rPr>
          <w:t>www.centrostudigiuridicikoine.eu</w:t>
        </w:r>
      </w:hyperlink>
    </w:p>
    <w:p w:rsidR="00837A80" w:rsidRDefault="00837A80" w:rsidP="00E417A5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sectPr w:rsidR="00837A80" w:rsidSect="00837A80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9"/>
    <w:rsid w:val="000501EF"/>
    <w:rsid w:val="001C648C"/>
    <w:rsid w:val="00317058"/>
    <w:rsid w:val="003C6661"/>
    <w:rsid w:val="003D554F"/>
    <w:rsid w:val="0042724B"/>
    <w:rsid w:val="005837B9"/>
    <w:rsid w:val="00837A80"/>
    <w:rsid w:val="00A177B9"/>
    <w:rsid w:val="00B723FB"/>
    <w:rsid w:val="00BF5106"/>
    <w:rsid w:val="00C23FD8"/>
    <w:rsid w:val="00E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C9A7-566A-41F9-946B-0C0DA2F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E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3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11</cp:revision>
  <cp:lastPrinted>2017-01-24T16:30:00Z</cp:lastPrinted>
  <dcterms:created xsi:type="dcterms:W3CDTF">2017-01-23T09:14:00Z</dcterms:created>
  <dcterms:modified xsi:type="dcterms:W3CDTF">2017-01-25T16:05:00Z</dcterms:modified>
</cp:coreProperties>
</file>